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Passionné par les marchés financiers et par la gestion indicielle, je souhaite rejoindre l'équipe ETF Product Strategy d'Amundi en tant que Stagiaire ETF Investment Strategist. Amundi, filiale de Crédit Agricole S.A. et acteur européen de référence de la gestion d'actifs, fait de l'ETF un levier d'accès aux marchés pour ses clients, avec une attention forte portée aux stratégies ESG et climat. Le mélange d'appui technique aux équipes commerciales, de veille concurrentielle et d'études sur les indices correspond précisément à ce que je recherche.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au sein du Master in Finance de l'ESSCA, avec des cours de Derivative Pricing, Fixed Income Modeling, Portfolio Management et Quantitative Risk Management, m'a donné des bases solides pour comparer des méthodologies d'indices et analyser des corrélations et des allocations. Je suis titulaire de la certification Bloomberg Market Concepts et je prépare l'AMF pour décembre 2026. En m'appuyant sur des outils d'IA, j'ai conçu une stratégie algorithmique atteignant un ratio de Sharpe de 0,91 par rapport au SPY sur dix ans de backtest, ainsi qu'un système de trading sur Polymarket connecté à huit plateformes d'échange, arrêté faute d'avantage net. Ces projets m'ont appris à structurer une analyse quantitative avec rigueur, à remettre en cause mes résultats et à produire des synthèses claires.</w:t>
      </w:r>
    </w:p>
    <w:p>
      <w:pPr>
        <w:spacing w:after="200"/>
        <w:jc w:val="both"/>
      </w:pPr>
      <w:r>
        <w:rPr>
          <w:rFonts w:ascii="Arial" w:cs="Arial" w:eastAsia="Arial" w:hAnsi="Arial"/>
          <w:sz w:val="22"/>
          <w:szCs w:val="22"/>
        </w:rPr>
        <w:t xml:space="preserve">Mon parcours commercial renforce ce profil. Chez Mecanicus, j'ai réalisé plus de dix ventes de gré à gré comprises entre 50 000 et 500 000 euros pour un stock de 3 millions d'euros, ce qui m'a appris à comprendre le besoin d'un client et à y répondre précisément. Mon activité de revendeur indépendant, menée de 2018 à 2025, a généré plus de 10 000 euros de chiffre d'affaires avec environ 50 % de marge nette, et m'a donné le goût de l'autonomie et du travail sous contrainte de délais.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mêlant rigueur analytique, sens commercial et maîtrise du français et de l'anglais (TOEIC 975/990) peut apporter une contribution concrète à votre équipe,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2026-10-30T08:26:13.764Z</dcterms:created>
  <dcterms:modified xsi:type="dcterms:W3CDTF">2026-10-30T08:26:13.764Z</dcterms:modified>
</cp:coreProperties>
</file>

<file path=docProps/custom.xml><?xml version="1.0" encoding="utf-8"?>
<Properties xmlns="http://schemas.openxmlformats.org/officeDocument/2006/custom-properties" xmlns:vt="http://schemas.openxmlformats.org/officeDocument/2006/docPropsVTypes"/>
</file>