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Le stage de Commercial Produits Financiers au sein de l'équipe commerciale internationale de CPRAM chez Amundi correspond exactement à ce que je recherche : un poste au contact des clients institutionnels et des distributeurs, où l'on promeut des solutions d'investissement, répond aux appels d'offres et fait remonter l'information de marché vers les équipes investissement et produit. Étudiant en Master 1 Finance à l'ESSCA, je souhaite rejoindre un leader européen de la gestion d'actifs pour contribuer au développement commercial de la zone confiée et apprendre aux côtés du Senior Business Developer.</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à l'ESSCA m'a donné des bases solides en Fixed Income Modeling, Derivative Pricing, Portfolio Management et gestion des risques quantitative, complétées par la certification Bloomberg Market Concepts et un TOEIC de 975 sur 990. En m'appuyant sur des outils d'IA, j'ai conçu une stratégie algorithmique atteignant un ratio de Sharpe de 0,91 par rapport au SPY sur dix ans de backtest, puis un système de trading sur Polymarket connecté à huit plateformes d'échange, que j'ai arrêté faute d'avantage net. Cette démarche m'a appris à structurer une analyse, à mesurer une performance et à savoir renoncer lorsque les chiffres ne suivent pas, des réflexes utiles pour présenter des solutions d'investissement à des clients exigeants.</w:t>
      </w:r>
    </w:p>
    <w:p>
      <w:pPr>
        <w:spacing w:after="200"/>
        <w:jc w:val="both"/>
      </w:pPr>
      <w:r>
        <w:rPr>
          <w:rFonts w:ascii="Arial" w:cs="Arial" w:eastAsia="Arial" w:hAnsi="Arial"/>
          <w:sz w:val="22"/>
          <w:szCs w:val="22"/>
        </w:rPr>
        <w:t xml:space="preserve">Mon goût du terrain commercial s'est construit tôt. Chez Mecanicus, j'ai conclu plus de dix ventes de gré à gré comprises entre 50 000 et 500 000 euros pour un stock de 3 millions d'euros, et j'ai mené pendant sept ans une activité de revente indépendante ayant généré plus de 10 000 euros de chiffre d'affaires avec environ 50 % de marge. Ces expériences m'ont appris à écouter un client, à défendre une proposition de valeur et à suivre un pipeline avec rigueur. Mon parcours de sportif de compétition m'aide aussi à rester performant sous pression, notamment lors des échéances serrées des appels d'offres.</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Convaincu que mon profil analytique et mon sens commercial peuvent servir votre équipe, je serais heureux d'échanger avec vous lors d'un entretien. 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2026-10-30T08:26:11.984Z</dcterms:created>
  <dcterms:modified xsi:type="dcterms:W3CDTF">2026-10-30T08:26:11.984Z</dcterms:modified>
</cp:coreProperties>
</file>

<file path=docProps/custom.xml><?xml version="1.0" encoding="utf-8"?>
<Properties xmlns="http://schemas.openxmlformats.org/officeDocument/2006/custom-properties" xmlns:vt="http://schemas.openxmlformats.org/officeDocument/2006/docPropsVTypes"/>
</file>