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Ardian incarne pour moi la rigueur et l'exigence du private equity européen, et le poste de stagiaire Fund Finance Cross Functional à Paris m'attire par sa position au carrefour des équipes Fund Finance, des prestataires de fonds et des fonctions Tax, Compliance et Legal. Coordonner des projets d'outils comme eFront ou Business Objects, suivre les campagnes fiscales et de facturation avec les administrateurs et les auditeurs, et contribuer aux rapports réglementaires correspond exactement à la façon dont je veux découvrir l'envers du décor d'un grand gérant d'actifs.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de Master 1 Finance à l'ESSCA, complétée par la certification Bloomberg Market Concepts et un TOEIC de 975 sur 990, me permet de travailler aisément en anglais avec des interlocuteurs de plusieurs pays. En m'appuyant sur des outils d'IA, j'ai conçu une stratégie algorithmique atteignant un ratio de Sharpe de 0,91 par rapport au SPY sur dix ans de backtest, puis un système de trading sur Polymarket connecté à huit plateformes d'échange, arrêté faute d'avantage net. Ces projets m'ont appris à structurer des fichiers d'analyse fiables, à documenter une méthode et à tirer parti de l'IA pour automatiser et fiabiliser un processus, des réflexes utiles pour optimiser des fichiers Excel, des procédures et des reportings.</w:t>
      </w:r>
    </w:p>
    <w:p>
      <w:pPr>
        <w:spacing w:after="200"/>
        <w:jc w:val="both"/>
      </w:pPr>
      <w:r>
        <w:rPr>
          <w:rFonts w:ascii="Arial" w:cs="Arial" w:eastAsia="Arial" w:hAnsi="Arial"/>
          <w:sz w:val="22"/>
          <w:szCs w:val="22"/>
        </w:rPr>
        <w:t xml:space="preserve">Sur le plan commercial, j'ai réalisé chez Mecanicus plus de dix transactions de gré à gré comprises entre 50 000 et 500 000 euros, avec trois millions d'euros d'inventaire à suivre. Parallèlement, mon activité de revente indépendante a généré plus de 10 000 euros de chiffre d'affaires avec une marge nette d'environ 50 pour cent. Ces expériences m'ont donné le sens de l'autonomie, de la relation avec des prestataires externes et du suivi rigoureux de chaque dossier, des qualités que je souhaite mettre au service de vos équipes.</w:t>
      </w:r>
    </w:p>
    <w:p>
      <w:pPr>
        <w:spacing w:after="200"/>
        <w:jc w:val="both"/>
      </w:pPr>
      <w:r>
        <w:rPr>
          <w:rFonts w:ascii="Arial" w:cs="Arial" w:eastAsia="Arial" w:hAnsi="Arial"/>
          <w:sz w:val="22"/>
          <w:szCs w:val="22"/>
        </w:rPr>
        <w:t xml:space="preserve">Je suis disponible à partir de mars 2027 pour une durée de six mois.</w:t>
      </w:r>
    </w:p>
    <w:p>
      <w:pPr>
        <w:spacing w:after="200"/>
        <w:jc w:val="both"/>
      </w:pPr>
      <w:r>
        <w:rPr>
          <w:rFonts w:ascii="Arial" w:cs="Arial" w:eastAsia="Arial" w:hAnsi="Arial"/>
          <w:sz w:val="22"/>
          <w:szCs w:val="22"/>
        </w:rPr>
        <w:t xml:space="preserve">Convaincu que ce stage me permettrait de contribuer concrètement à vos projets tout en apprenant auprès de professionnels exigeants,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2026-10-29T13:58:53.678Z</dcterms:created>
  <dcterms:modified xsi:type="dcterms:W3CDTF">2026-10-29T13:58:53.678Z</dcterms:modified>
</cp:coreProperties>
</file>

<file path=docProps/custom.xml><?xml version="1.0" encoding="utf-8"?>
<Properties xmlns="http://schemas.openxmlformats.org/officeDocument/2006/custom-properties" xmlns:vt="http://schemas.openxmlformats.org/officeDocument/2006/docPropsVTypes"/>
</file>