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Étudiant en Master 1 Finance à l'ESSCA, je souhaite rejoindre l'équipe Private Capital de BGL BNP Paribas à Luxembourg pour le stage Private Capital Portfolio Monitoring. Les missions de vérification de propriété et de tenue de registre, au cœur de la qualité des données d'investissement, correspondent à ma volonté de comprendre la mécanique opérationnelle des marchés financiers avec rigueur, au sein d'un grand groupe bancaire européen.</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(pricing de dérivés, modélisation des taux, gestion des risques quantitative, normes IFRS) m'a donné de solides bases pour analyser des documents d'investissement et rapprocher des positions. Je maîtrise Excel et la certification Bloomberg Market Concepts complète mon socle de marché. En m'appuyant sur des outils d'IA, j'ai conçu une stratégie algorithmique atteignant un ratio de Sharpe de 0,91 par rapport au SPY sur dix ans de backtest, ce qui illustre mon souci de vérifier chaque chiffre et d'automatiser le suivi de positions avec méthode.</w:t>
      </w:r>
    </w:p>
    <w:p>
      <w:pPr>
        <w:spacing w:after="200"/>
        <w:jc w:val="both"/>
      </w:pPr>
      <w:r>
        <w:rPr>
          <w:rFonts w:ascii="Arial" w:cs="Arial" w:eastAsia="Arial" w:hAnsi="Arial"/>
          <w:sz w:val="22"/>
          <w:szCs w:val="22"/>
        </w:rPr>
        <w:t xml:space="preserve">Mon parcours commercial renforce cette exigence de précision. Chez Mecanicus, j'ai conclu plus de dix transactions de gré à gré de 50 000 à 500 000 euros et suivi un inventaire de 3 millions d'euros. En tant que revendeur indépendant, j'ai généré plus de 10 000 euros de chiffre d'affaires avec une marge nette d'environ 50 %, ce qui m'a appris l'organisation, la tenue rigoureuse des flux et l'orientation résultats. Je travaille couramment en anglais (TOEIC 975/990) et je parle espagnol (B2).</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Motivé par l'idée de contribuer à la fiabilité du suivi des portefeuilles de vos clients, je serais heureux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2026-10-30T08:33:14.482Z</dcterms:created>
  <dcterms:modified xsi:type="dcterms:W3CDTF">2026-10-30T08:33:14.482Z</dcterms:modified>
</cp:coreProperties>
</file>

<file path=docProps/custom.xml><?xml version="1.0" encoding="utf-8"?>
<Properties xmlns="http://schemas.openxmlformats.org/officeDocument/2006/custom-properties" xmlns:vt="http://schemas.openxmlformats.org/officeDocument/2006/docPropsVTypes"/>
</file>