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Les activités de prêt emprunt de titres, de repo et de gestion du collatéral sont au cœur du fonctionnement des marchés, et c'est précisément ce qui me motive à rejoindre l'équipe Securities Financing de CACEIS à Luxembourg en tant que Trading Collateral Middle Officer. Ce stage me permettrait de comprendre de l'intérieur comment les opérations des desks de trading sont suivies, réglées, contrôlées et valorisées, avec une exigence de rigueur et de maîtrise du risque opérationnel qui correspond à ma manière de travailler.</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cours en Fixed Income Modeling, Quantitative Risk Management et Derivative Pricing, ainsi que la certification Bloomberg Market Concepts, m'ont donné de solides bases sur les produits de taux, les mécanismes de marge et le risque de contrepartie. En m'appuyant sur des outils d'IA, j'ai conçu une stratégie algorithmique atteignant un ratio de Sharpe de 0,91 par rapport au SPY sur dix ans de backtest, puis un système de trading sur Polymarket connecté à huit plateformes d'échange, que j'ai arrêté lorsque l'analyse des résultats a montré l'absence d'avantage net. Ces projets m'ont habitué à structurer des données, à réconcilier des chiffres et à utiliser Excel de manière intensive pour contrôler et documenter mes résultats.</w:t>
      </w:r>
    </w:p>
    <w:p>
      <w:pPr>
        <w:spacing w:after="200"/>
        <w:jc w:val="both"/>
      </w:pPr>
      <w:r>
        <w:rPr>
          <w:rFonts w:ascii="Arial" w:cs="Arial" w:eastAsia="Arial" w:hAnsi="Arial"/>
          <w:sz w:val="22"/>
          <w:szCs w:val="22"/>
        </w:rPr>
        <w:t xml:space="preserve">Mon parcours commercial m'a appris la précision et la réactivité face à des interlocuteurs exigeants. Chez Mecanicus, j'ai conclu plus de dix transactions de gré à gré comprises entre 50 000 et 500 000 euros et suivi un stock de 3 millions d'euros. Comme revendeur indépendant de 2018 à 2025, j'ai généré plus de 10 000 euros de chiffre d'affaires avec une marge nette d'environ 50 pour cent, ce qui m'a appris à négocier, à vérifier chaque chiffre et à respecter les délais.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Parfaitement à l'aise en français comme en anglais (TOEIC 975/990), je serais heureux de mettre mon sérieux et ma curiosité au service de votre équipe et de vous présenter ma motivation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2026-10-30T08:26:13.875Z</dcterms:created>
  <dcterms:modified xsi:type="dcterms:W3CDTF">2026-10-30T08:26:13.876Z</dcterms:modified>
</cp:coreProperties>
</file>

<file path=docProps/custom.xml><?xml version="1.0" encoding="utf-8"?>
<Properties xmlns="http://schemas.openxmlformats.org/officeDocument/2006/custom-properties" xmlns:vt="http://schemas.openxmlformats.org/officeDocument/2006/docPropsVTypes"/>
</file>