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Doctolib est l'une des rares entreprises technologiques européennes à avoir transformé durablement un secteur aussi structurant que la santé, et son rythme de croissance par acquisitions et partenariats rend l'équipe Corporate Development particulièrement stimulante. Rattachée directement à la direction financière et en lien régulier avec le Comex, elle réunit stratégie d'entreprise et croissance externe, ce qui correspond exactement à ce que je recherche. Je vous adresse donc ma candidature pour le stage de Corporate Development Analyst à Paris.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1 Finance à l'ESSCA, complétée par la certification Bloomberg Market Concepts, m'a donné de solides bases en valorisation et en analyse financière. En m'appuyant sur des outils d'IA, j'ai conçu une stratégie algorithmique atteignant un ratio de Sharpe de 0,91 par rapport au SPY sur dix ans de backtest, puis un système de trading sur Polymarket connecté à huit plateformes, que j'ai arrêté faute d'avantage net après analyse de ses résultats. Cette démarche, fondée sur l'hypothèse, la mesure et la remise en cause, est celle que j'appliquerai à la veille de l'écosystème healthtech et à la préparation de documents de décision pour le Comex.</w:t>
      </w:r>
    </w:p>
    <w:p>
      <w:pPr>
        <w:spacing w:after="200"/>
        <w:jc w:val="both"/>
      </w:pPr>
      <w:r>
        <w:rPr>
          <w:rFonts w:ascii="Arial" w:cs="Arial" w:eastAsia="Arial" w:hAnsi="Arial"/>
          <w:sz w:val="22"/>
          <w:szCs w:val="22"/>
        </w:rPr>
        <w:t xml:space="preserve">Mon parcours est aussi entrepreneurial et commercial. Chez Mecanicus, j'ai participé à plus de dix transactions de gré à gré de 50 000 à 500 000 euros et suivi trois millions d'euros de stock. Parallèlement, je gère depuis 2018 une activité de revente indépendante qui a généré plus de 10 000 euros de chiffre d'affaires avec une marge nette d'environ 50 %. J'y ai appris à sourcer, négocier et arbitrer, des réflexes utiles pour l'origination de cibles et le soutien aux processus de M&amp;A. Mon anglais (TOEIC 975 sur 990) me permet de travailler sans difficulté avec des interlocuteurs internationaux.</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vous présenter ma motivation lors d'un entretien et de vous montrer comment je peux contribuer dès les premières semaines aux travaux de l'équipe.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2026-10-29T21:47:54.791Z</dcterms:created>
  <dcterms:modified xsi:type="dcterms:W3CDTF">2026-10-29T21:47:54.792Z</dcterms:modified>
</cp:coreProperties>
</file>

<file path=docProps/custom.xml><?xml version="1.0" encoding="utf-8"?>
<Properties xmlns="http://schemas.openxmlformats.org/officeDocument/2006/custom-properties" xmlns:vt="http://schemas.openxmlformats.org/officeDocument/2006/docPropsVTypes"/>
</file>