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desk de macro trading de HSBC à Paris réunit les activités de taux, de change et de produits dérivés au sein d'une plateforme internationale de premier plan, et le poste de stage Business Management au sein du COO Office me permettrait d'être au cœur de son fonctionnement : pilotage de l'activité, reporting, suivi des projets et interface entre les traders, les ventes et les fonctions de support. Étudiant en Master 1 Finance à l'ESSCA, je souhaite construire mon parcours sur les marchés, et cette position, à la jonction de la salle de marchés et de son pilotage, correspond précisément à ce que je recherche.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avec des cours de Derivative Pricing, Fixed Income Modeling, Quantitative Risk Management et Portfolio Management, complétée par la certification Bloomberg Market Concepts, me donne une lecture solide des produits de taux et des risques associés. En m'appuyant sur des outils d'IA, j'ai conçu une stratégie algorithmique atteignant un ratio de Sharpe de 0,91 par rapport au SPY sur dix ans de backtest, puis un système de trading sur Polymarket connecté à huit plateformes, arrêté lorsque l'absence d'avantage net a été constatée. Ces projets m'ont appris à suivre des indicateurs de performance, à produire un reporting clair et à savoir stopper une activité lorsque les chiffres l'imposent, des réflexes utiles pour un rôle de Business Management.</w:t>
      </w:r>
    </w:p>
    <w:p>
      <w:pPr>
        <w:spacing w:after="200"/>
        <w:jc w:val="both"/>
      </w:pPr>
      <w:r>
        <w:rPr>
          <w:rFonts w:ascii="Arial" w:cs="Arial" w:eastAsia="Arial" w:hAnsi="Arial"/>
          <w:sz w:val="22"/>
          <w:szCs w:val="22"/>
        </w:rPr>
        <w:t xml:space="preserve">Mon parcours commercial renforce cette approche. Chez Mecanicus, j'ai participé à plus de dix transactions de gré à gré comprises entre 50 000 et 500 000 euros, pour un stock de 3 millions d'euros, ce qui m'a appris la rigueur du suivi et la relation avec des interlocuteurs exigeants. Revendeur indépendant depuis 2018, j'ai généré plus de 10 000 euros de chiffre d'affaires avec une marge nette d'environ 50 %, en gérant seul l'approvisionnement, les prix et la relation client. Mon expérience du sport de compétition m'a par ailleurs habitué à travailler sous pression et à tenir des délais serrés.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heureux de vous présenter ma motivation lors d'un entretien et de vous montrer comment je peux contribuer au COO Office et aux équipes de trading. 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2026-10-30T08:33:26.810Z</dcterms:created>
  <dcterms:modified xsi:type="dcterms:W3CDTF">2026-10-30T08:33:26.810Z</dcterms:modified>
</cp:coreProperties>
</file>

<file path=docProps/custom.xml><?xml version="1.0" encoding="utf-8"?>
<Properties xmlns="http://schemas.openxmlformats.org/officeDocument/2006/custom-properties" xmlns:vt="http://schemas.openxmlformats.org/officeDocument/2006/docPropsVTypes"/>
</file>