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Je souhaite vous faire part de ma candidature au stage Strategic Corporate Finance de janvier 2027 au sein de HSBC à Paris. Cette équipe se situe à l'interface entre la banque et ses grands clients corporate, autour de leurs décisions de structure financière, de financement et d'allocation du capital. C'est ce regard stratégique sur la création de valeur, adossé à la qualité d'analyse et à l'exigence d'un grand groupe bancaire international, qui motive ma candidature.</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de Master 1 Finance à l'ESSCA m'a donné des bases solides en analyse financière, que j'applique à des projets personnels de recherche quantitative. En m'appuyant sur des outils d'IA, j'ai conçu une stratégie algorithmique atteignant un ratio de Sharpe de 0,91 par rapport au SPY sur dix ans de backtest, puis un système de trading sur Polymarket connecté à huit plateformes, que j'ai arrêté après avoir constaté l'absence d'avantage net. Cette démarche m'a appris à formuler une hypothèse, à la tester avec rigueur et à accepter ses conclusions, des réflexes utiles pour construire et défendre une analyse devant un client.</w:t>
      </w:r>
    </w:p>
    <w:p>
      <w:pPr>
        <w:spacing w:after="200"/>
        <w:jc w:val="both"/>
      </w:pPr>
      <w:r>
        <w:rPr>
          <w:rFonts w:ascii="Arial" w:cs="Arial" w:eastAsia="Arial" w:hAnsi="Arial"/>
          <w:sz w:val="22"/>
          <w:szCs w:val="22"/>
        </w:rPr>
        <w:t xml:space="preserve">Mon parcours commercial complète ce profil. Chez Mecanicus, j'ai participé à plus de dix transactions de gré à gré de 50 000 à 500 000 euros et suivi trois millions d'euros d'inventaire, ce qui m'a appris à négocier, valoriser un actif et conduire une discussion jusqu'à la décision. Depuis 2018, mon activité indépendante de revente a généré plus de 10 000 euros de chiffre d'affaires avec une marge nette d'environ 50 %, et m'a enseigné la discipline sur les coûts et le sens du prix.</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ce stage me permettrait de contribuer rapidement tout en progressant auprès de professionnels exigeants,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2026-10-29T21:47:36.843Z</dcterms:created>
  <dcterms:modified xsi:type="dcterms:W3CDTF">2026-10-29T21:47:36.843Z</dcterms:modified>
</cp:coreProperties>
</file>

<file path=docProps/custom.xml><?xml version="1.0" encoding="utf-8"?>
<Properties xmlns="http://schemas.openxmlformats.org/officeDocument/2006/custom-properties" xmlns:vt="http://schemas.openxmlformats.org/officeDocument/2006/docPropsVTypes"/>
</file>