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poste de Responsable Adjoint Corporate Finance au sein de LCL à Bordeaux correspond précisément à ce que je recherche : intervenir en binôme avec le Responsable Corporate Finance sur des opérations d'envergure, de la proposition commerciale (term sheets, pitchs, mémorandums) à la modélisation des financements Corporate et LBO, puis au suivi post closing. Cette exposition complète au cycle d'une opération, adossée à un grand réseau bancaire, motive ma candidature à ce stage de six mois.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Fixed Income Modeling, Derivative Pricing et Quantitative Risk Management, ainsi que ma certification Bloomberg Market Concepts, me donnent les bases pour construire et lire des modèles de financement. En m'appuyant sur des outils d'IA, j'ai conçu une stratégie algorithmique atteignant un ratio de Sharpe de 0,91 par rapport au SPY sur dix ans de backtest, et un système de trading sur Polymarket que j'ai arrêté faute d'avantage net, une discipline de décision que je retrouve dans l'analyse du risque de crédit et le suivi des covenants.</w:t>
      </w:r>
    </w:p>
    <w:p>
      <w:pPr>
        <w:spacing w:after="200"/>
        <w:jc w:val="both"/>
      </w:pPr>
      <w:r>
        <w:rPr>
          <w:rFonts w:ascii="Arial" w:cs="Arial" w:eastAsia="Arial" w:hAnsi="Arial"/>
          <w:sz w:val="22"/>
          <w:szCs w:val="22"/>
        </w:rPr>
        <w:t xml:space="preserve">Mon parcours commercial renforce ma capacité à échanger avec des dirigeants et à défendre une proposition chiffrée. Chez Mecanicus, j'ai conclu plus de dix transactions de gré à gré comprises entre 50 000 et 500 000 euros et suivi un stock de 3 millions d'euros. Comme revendeur indépendant depuis 2018, j'ai généré plus de 10 000 euros de chiffre d'affaires avec environ 50 % de marge nette, ce qui m'a appris la rigueur sur les coûts et la négociation.</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mon profil analytique et mon sens commercial seront utiles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2026-10-30T08:26:10.429Z</dcterms:created>
  <dcterms:modified xsi:type="dcterms:W3CDTF">2026-10-30T08:26:10.429Z</dcterms:modified>
</cp:coreProperties>
</file>

<file path=docProps/custom.xml><?xml version="1.0" encoding="utf-8"?>
<Properties xmlns="http://schemas.openxmlformats.org/officeDocument/2006/custom-properties" xmlns:vt="http://schemas.openxmlformats.org/officeDocument/2006/docPropsVTypes"/>
</file>