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Natixis, à travers Vega Investment Solutions, construit des portefeuilles multi actifs où les marchés privés occupent une place croissante, et c'est précisément ce terrain qui m'attire. Votre offre de stage de six mois en tant qu'Analyste Quantitatif au sein de l'équipe Multi Actifs Privés à Paris associe modélisation, allocation entre capital investissement, dette privée, immobilier et infrastructure, et construction de fonds semi liquides. Cette combinaison de rigueur quantitative et de réflexion d'investissement correspond exactement à ce que je souhaite approfondir.</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cours de Derivative Pricing, Fixed Income Modeling, Stochastic Calculus, Quantitative Risk Management et Portfolio Management, m'a donné des bases solides en statistiques, en évaluation d'actifs et en optimisation de portefeuille. En m'appuyant sur des outils d'IA, j'ai conçu une stratégie algorithmique atteignant un ratio de Sharpe de 0,91 par rapport au SPY sur dix ans de backtest, ainsi qu'un système de trading sur Polymarket que j'ai arrêté faute d'avantage net, une décision qui illustre ma discipline face aux résultats. J'utilise l'IA comme un levier de recherche appliquée, ce qui me permet de tester rapidement des hypothèses, de produire des données pour des reportings et de me concentrer sur l'interprétation financière. Je suis certifié Bloomberg Market Concepts et j'ai obtenu 975 sur 990 au TOEIC.</w:t>
      </w:r>
    </w:p>
    <w:p>
      <w:pPr>
        <w:spacing w:after="200"/>
        <w:jc w:val="both"/>
      </w:pPr>
      <w:r>
        <w:rPr>
          <w:rFonts w:ascii="Arial" w:cs="Arial" w:eastAsia="Arial" w:hAnsi="Arial"/>
          <w:sz w:val="22"/>
          <w:szCs w:val="22"/>
        </w:rPr>
        <w:t xml:space="preserve">Mon parcours est aussi très concret et commercial. Chez Mecanicus, j'ai réalisé plus de dix ventes de gré à gré comprises entre 50 000 et 500 000 euros et suivi un stock de 3 millions d'euros. Depuis 2018, je gère une activité indépendante de revente qui a généré plus de 10 000 euros de chiffre d'affaires avec environ 50 % de marge nette. Ces expériences m'ont appris à évaluer un actif, à négocier et à rendre compte de mes résultats avec précision, des qualités utiles pour contribuer aux réponses aux appels d'offres et aux comités d'investissement.</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ma curiosité pour les actifs non cotés et mon sens de l'analyse seraient utiles à votre équipe,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2026-10-30T08:33:13.246Z</dcterms:created>
  <dcterms:modified xsi:type="dcterms:W3CDTF">2026-10-30T08:33:13.247Z</dcterms:modified>
</cp:coreProperties>
</file>

<file path=docProps/custom.xml><?xml version="1.0" encoding="utf-8"?>
<Properties xmlns="http://schemas.openxmlformats.org/officeDocument/2006/custom-properties" xmlns:vt="http://schemas.openxmlformats.org/officeDocument/2006/docPropsVTypes"/>
</file>