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Pax Corporate Finance m'attire par son positionnement de boutique de conseil en fusions acquisitions, où une équipe d'analystes resserrée est directement exposée aux dirigeants et aux contreparties dès les premières phases d'une opération. Étudiant en Master 1 Finance à l'ESSCA, je souhaite rejoindre cette équipe en tant qu'M&amp;A Analyst Intern à Paris pour participer à la préparation de teasers, de mémorandums d'information et de modèles de valorisation, dans un environnement exigeant où la progression est rapide.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complétée par la certification Bloomberg Market Concepts et un TOEIC de 975 sur 990, m'a donné de solides bases en analyse financière et en valorisation. En m'appuyant sur des outils d'IA, j'ai conçu une stratégie algorithmique atteignant un ratio de Sharpe de 0,91 par rapport au SPY sur dix ans de backtest, puis un système de trading sur les marchés de prédiction que j'ai arrêté faute d'avantage net, une décision qui illustre ma rigueur analytique et ma capacité à remettre en cause mes hypothèses. Cette aisance avec les chiffres, les modèles et les outils m'aidera à construire des business plans et des structures de financement fiables et bien présentés.</w:t>
      </w:r>
    </w:p>
    <w:p>
      <w:pPr>
        <w:spacing w:after="200"/>
        <w:jc w:val="both"/>
      </w:pPr>
      <w:r>
        <w:rPr>
          <w:rFonts w:ascii="Arial" w:cs="Arial" w:eastAsia="Arial" w:hAnsi="Arial"/>
          <w:sz w:val="22"/>
          <w:szCs w:val="22"/>
        </w:rPr>
        <w:t xml:space="preserve">Mon parcours commercial renforce cette approche. Chez Mecanicus, j'ai participé à plus de dix transactions de gré à gré entre 50 000 et 500 000 euros et suivi trois millions d'euros d'inventaire. Parallèlement, mon activité indépendante de revente, supérieure à 10 000 euros de chiffre d'affaires avec une marge nette d'environ 50 %, m'a appris à négocier, à valoriser un actif et à échanger avec des contreparties exigeantes, des qualités essentielles face à des dirigeants et des partenaires.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rigoureux, rédactionnel et orienté résultats correspond à vos attentes, je serais ravi d'échanger avec vous lors d'un entretien afin de vous présenter plus en détail ma motivation.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2026-10-29T21:47:36.118Z</dcterms:created>
  <dcterms:modified xsi:type="dcterms:W3CDTF">2026-10-29T21:47:36.119Z</dcterms:modified>
</cp:coreProperties>
</file>

<file path=docProps/custom.xml><?xml version="1.0" encoding="utf-8"?>
<Properties xmlns="http://schemas.openxmlformats.org/officeDocument/2006/custom-properties" xmlns:vt="http://schemas.openxmlformats.org/officeDocument/2006/docPropsVTypes"/>
</file>