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Rejoindre SUEZ au sein de l'équipe Développement Trade &amp; Export Finance de la Direction des Investissements Groupe répond à ce que je recherche : un poste où la finance de marché rencontre le financement du commerce international et la sécurisation de contrats à forte valeur. La gestion des garanties bancaires pour SUEZ International, de leur émission à leur mainlevée, ainsi que la contribution aux projets de financement export, me motivent particulièrement, car elles exigent à la fois rigueur opérationnelle et compréhension fine des risques de contrepartie. Je vous adresse donc ma candidature pour le stage en Développement Trade &amp; Export Finance à Puteaux.</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j'ai suivi des enseignements en Fixed Income Modeling, Quantitative Risk Management, Derivative Pricing et IFRS, qui m'ont donné de solides bases pour analyser des engagements financiers et leurs risques. En m'appuyant sur des outils d'IA, j'ai conçu une stratégie algorithmique atteignant un ratio de Sharpe de 0,91 par rapport au SPY sur dix ans de backtest, puis un système de trading sur Polymarket connecté à huit plateformes d'échange, que j'ai arrêté faute d'avantage net après coûts. Ces projets m'ont appris à mesurer le risque, à documenter mes résultats et à reconnaître quand un dispositif ne tient pas. Je maîtrise Excel, l'anglais (TOEIC 975/990) et j'ai obtenu la certification Bloomberg Market Concepts.</w:t>
      </w:r>
    </w:p>
    <w:p>
      <w:pPr>
        <w:spacing w:after="200"/>
        <w:jc w:val="both"/>
      </w:pPr>
      <w:r>
        <w:rPr>
          <w:rFonts w:ascii="Arial" w:cs="Arial" w:eastAsia="Arial" w:hAnsi="Arial"/>
          <w:sz w:val="22"/>
          <w:szCs w:val="22"/>
        </w:rPr>
        <w:t xml:space="preserve">Mon parcours est aussi commercial et entrepreneurial. Chez Mecanicus, j'ai réalisé plus de dix ventes de gré à gré de 50 000 à 500 000 euros et suivi un stock de 3 millions d'euros, ce qui m'a confronté à la négociation, au suivi des paiements et à la sécurisation des transactions. Revendeur indépendant depuis 2018, j'ai généré plus de 10 000 euros de chiffre d'affaires avec environ 50 % de marge nette, en gérant seul l'approvisionnement, les prix et la relation avec les acheteurs.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sens de la rigueur, ma curiosité pour les mécanismes de financement et mon goût du travail en équipe seraient utiles à vos trois experts,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2026-10-30T08:33:20.984Z</dcterms:created>
  <dcterms:modified xsi:type="dcterms:W3CDTF">2026-10-30T08:33:20.985Z</dcterms:modified>
</cp:coreProperties>
</file>

<file path=docProps/custom.xml><?xml version="1.0" encoding="utf-8"?>
<Properties xmlns="http://schemas.openxmlformats.org/officeDocument/2006/custom-properties" xmlns:vt="http://schemas.openxmlformats.org/officeDocument/2006/docPropsVTypes"/>
</file>