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groupe Advisory &amp; Financing de la Société Générale CIB, par son positionnement sur les financements stratégiques et d'acquisition ainsi que sur le conseil en dette et en notation, correspond précisément à l'univers dans lequel je souhaite construire ma carrière. Étudiant en Master of Finance à l'ESSCA, je vous adresse ma candidature pour le stage d'Analyst à La Défense, attiré par la modélisation de la structure de capital optimale d'un émetteur et par le travail en lien étroit avec les équipes de couverture, DCM, ECM et M&amp;A.</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avec des enseignements en Fixed Income Modeling, Derivative Pricing, Quantitative Risk Management et IFRS, m'a donné des bases solides en analyse financière et en évaluation du risque de crédit et de marché. En m'appuyant sur des outils d'IA, j'ai conçu une stratégie algorithmique atteignant un ratio de Sharpe de 0,91 par rapport au SPY sur dix ans de backtest, puis un système de trading sur Polymarket connecté à huit plateformes, que j'ai arrêté faute d'avantage net. Ces projets illustrent ma rigueur analytique, mon esprit critique face aux résultats et ma capacité à utiliser l'IA comme levier de recherche. Je maîtrise Excel et PowerPoint, je suis certifié Bloomberg Market Concepts et mon niveau d'anglais est C1 (TOEIC 975/990).</w:t>
      </w:r>
    </w:p>
    <w:p>
      <w:pPr>
        <w:spacing w:after="200"/>
        <w:jc w:val="both"/>
      </w:pPr>
      <w:r>
        <w:rPr>
          <w:rFonts w:ascii="Arial" w:cs="Arial" w:eastAsia="Arial" w:hAnsi="Arial"/>
          <w:sz w:val="22"/>
          <w:szCs w:val="22"/>
        </w:rPr>
        <w:t xml:space="preserve">Mon parcours est aussi commercial et entrepreneurial. Chez Mecanicus, j'ai réalisé plus de dix ventes de gré à gré comprises entre 50 000 et 500 000 euros et participé à la gestion d'un stock de 3 millions d'euros. Parallèlement, mon activité de revendeur indépendant, menée de 2018 à 2025, a généré plus de 10 000 euros de chiffre d'affaires avec environ 50 % de marge nette. J'y ai appris à tenir des délais courts, à négocier et à structurer une opération de bout en bout, des qualités utiles pour préparer des présentations clients et suivre l'exécution d'un dossier.</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mon profil analytique et mon goût pour la structuration de financements me permettraient de contribuer rapidement à vos équipes, je serais ravi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2026-10-30T08:26:10.676Z</dcterms:created>
  <dcterms:modified xsi:type="dcterms:W3CDTF">2026-10-30T08:26:10.677Z</dcterms:modified>
</cp:coreProperties>
</file>

<file path=docProps/custom.xml><?xml version="1.0" encoding="utf-8"?>
<Properties xmlns="http://schemas.openxmlformats.org/officeDocument/2006/custom-properties" xmlns:vt="http://schemas.openxmlformats.org/officeDocument/2006/docPropsVTypes"/>
</file>