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Je souhaite rejoindre Société Générale, à La Défense, en tant qu'Analyste risque de crédit en stage. L'analyse de la solvabilité d'une contrepartie, la lecture rigoureuse des états financiers et la formulation d'une recommandation défendable correspondent exactement à ce que je veux approfondir à l'issue de mon Master 1 en Finance à l'ESSCA, et l'envergure du Groupe me permettrait d'apprendre auprès d'experts reconnus du risque.</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À l'ESSCA, mes cours de Fixed Income Modeling, Quantitative Risk Management, Derivative Pricing et IFRS m'ont donné un socle solide pour apprécier le risque de crédit et la structure d'un bilan. En m'appuyant sur des outils d'IA, j'ai conçu une stratégie algorithmique atteignant un ratio de Sharpe de 0,91 par rapport au SPY sur dix ans de backtest, puis un système de trading sur Polymarket connecté à huit plateformes, que j'ai arrêté faute d'avantage net, ce qui m'a appris à remettre en question mes propres hypothèses. Certifié Bloomberg Market Concepts, je m'appuie sur ces outils pour structurer mes analyses et produire des reportings clairs.</w:t>
      </w:r>
    </w:p>
    <w:p>
      <w:pPr>
        <w:spacing w:after="200"/>
        <w:jc w:val="both"/>
      </w:pPr>
      <w:r>
        <w:rPr>
          <w:rFonts w:ascii="Arial" w:cs="Arial" w:eastAsia="Arial" w:hAnsi="Arial"/>
          <w:sz w:val="22"/>
          <w:szCs w:val="22"/>
        </w:rPr>
        <w:t xml:space="preserve">Mon parcours est aussi commercial et entrepreneurial. Chez Mecanicus, j'ai réalisé plus de dix transactions de gré à gré comprises entre 50 000 et 500 000 euros et suivi un stock de 3 millions d'euros, ce qui m'a appris à évaluer une contrepartie et à défendre un prix. Revendeur indépendant depuis 2018, j'ai généré plus de 10 000 euros de chiffre d'affaires avec environ 50 % de marge nette, grâce à une discipline constante sur le risque et la rotation des stocks.</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que mon profil analytique et ma rigueur peuvent répondre à vos besoins, je serais ravi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2026-10-30T08:26:30.135Z</dcterms:created>
  <dcterms:modified xsi:type="dcterms:W3CDTF">2026-10-30T08:26:30.135Z</dcterms:modified>
</cp:coreProperties>
</file>

<file path=docProps/custom.xml><?xml version="1.0" encoding="utf-8"?>
<Properties xmlns="http://schemas.openxmlformats.org/officeDocument/2006/custom-properties" xmlns:vt="http://schemas.openxmlformats.org/officeDocument/2006/docPropsVTypes"/>
</file>