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Le financement export structuré se situe à la croisée de la finance de projet, du crédit et de la géopolitique, et c'est précisément ce qui m'attire dans l'équipe Development &amp; Structured Export Finance de SG CIB. Travailler avec des exportateurs, des États et des institutions financières, aux côtés des agences de crédit export et des institutions de développement, sur des projets d'infrastructures, d'énergie et de transport en Europe et en Asie, représente pour moi la manière la plus concrète d'appliquer la finance à l'économie réelle. C'est pourquoi je souhaite rejoindre votre équipe en tant qu'Assistant développement et financements export structurés pour l'Europe et l'Asie, dans le cadre d'un stage à La Défense.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School of Management, en Master Finance, m'a donné des bases solides en Fixed Income Modeling, Quantitative Risk Management, Derivative Pricing et IFRS, utiles pour modéliser une structure de financement et en apprécier la rentabilité et les risques. En m'appuyant sur des outils d'IA, j'ai conçu une stratégie algorithmique atteignant un ratio de Sharpe de 0,91 par rapport au SPY sur dix ans de backtest, puis un système de trading sur Polymarket connecté à huit plateformes, que j'ai arrêté faute d'avantage net démontré. Ces projets m'ont appris à structurer une analyse, à tester une hypothèse avec rigueur et à accepter ses conclusions. Je maîtrise Excel, Word et PowerPoint, j'ai validé la certification Bloomberg Market Concepts et je suis à l'aise en anglais (TOEIC 975/990). Mon semestre d'échange à l'Asia Pacific University au Japon m'a par ailleurs sensibilisé aux réalités économiques et culturelles de l'Asie.</w:t>
      </w:r>
    </w:p>
    <w:p>
      <w:pPr>
        <w:spacing w:after="200"/>
        <w:jc w:val="both"/>
      </w:pPr>
      <w:r>
        <w:rPr>
          <w:rFonts w:ascii="Arial" w:cs="Arial" w:eastAsia="Arial" w:hAnsi="Arial"/>
          <w:sz w:val="22"/>
          <w:szCs w:val="22"/>
        </w:rPr>
        <w:t xml:space="preserve">Mon parcours commercial complète ce profil. Chez Mecanicus, j'ai conclu plus de dix ventes de gré à gré comprises entre 50 000 et 500 000 euros et suivi un stock de 3 millions d'euros, ce qui m'a appris à écouter un client, à négocier et à tenir un engagement. Depuis 2018, mon activité de revendeur indépendant, qui a généré plus de 10 000 euros de chiffre d'affaires avec une marge d'environ 50 %, m'a appris à évaluer un risque, à fixer un prix et à gérer un portefeuille. Cette culture de l'origination et de la décision sous contrainte me semble précieuse pour préparer des pitchs commerciaux et des dossiers de crédit.</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Rigoureux, curieux et attaché au travail en équipe, je serais heureux de vous présenter ma motivation lors d'un entretien. 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2026-10-30T08:26:17.626Z</dcterms:created>
  <dcterms:modified xsi:type="dcterms:W3CDTF">2026-10-30T08:26:17.627Z</dcterms:modified>
</cp:coreProperties>
</file>

<file path=docProps/custom.xml><?xml version="1.0" encoding="utf-8"?>
<Properties xmlns="http://schemas.openxmlformats.org/officeDocument/2006/custom-properties" xmlns:vt="http://schemas.openxmlformats.org/officeDocument/2006/docPropsVTypes"/>
</file>