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Étudiant en Master 1 Finance à l'ESSCA, je souhaite rejoindre Société Générale Capital Partenaires en tant que Chargé d'études Middle Office Private Equity à Puteaux. Votre activité de capital investissement au sein de la banque de détail, avec le suivi financier, comptable et juridique de sept fonds, correspond exactement à ma volonté de comprendre de l'intérieur la vie d'un portefeuille de participations, de la valorisation semestrielle au calcul des ratios réglementaires.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avec des cours de Derivative Pricing, Fixed Income Modeling, Quantitative Risk Management, Portfolio Management et IFRS, m'a donné des bases solides pour les travaux de valorisation et de suivi de portefeuille que vous décrivez. En m'appuyant sur des outils d'IA, j'ai conçu une stratégie algorithmique atteignant un ratio de Sharpe de 0,91 par rapport au SPY sur dix ans de backtest, puis un système de trading sur Polymarket connecté à huit plateformes d'échange, que j'ai arrêté faute d'avantage net. Ces projets m'ont appris la rigueur analytique, le suivi d'indicateurs de performance et l'usage de l'IA comme levier de recherche, utiles pour produire des analyses de marché, des KPIs et des études ponctuelles pour la direction.</w:t>
      </w:r>
    </w:p>
    <w:p>
      <w:pPr>
        <w:spacing w:after="200"/>
        <w:jc w:val="both"/>
      </w:pPr>
      <w:r>
        <w:rPr>
          <w:rFonts w:ascii="Arial" w:cs="Arial" w:eastAsia="Arial" w:hAnsi="Arial"/>
          <w:sz w:val="22"/>
          <w:szCs w:val="22"/>
        </w:rPr>
        <w:t xml:space="preserve">Chez Mecanicus, j'ai conclu plus de dix transactions de gré à gré de 50 000 à 500 000 euros et suivi un stock de 3 millions d'euros, ce qui m'a appris l'exigence de précision, le respect des délais et la qualité du dialogue avec des interlocuteurs variés. Mon activité de revendeur indépendant, avec plus de 10 000 euros de chiffre d'affaires et environ 50 % de marge nette, m'a donné le sens de l'autonomie, de l'organisation et de la proactivité que demande votre environnement.</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analytique et mon sérieux répondraient à vos attentes,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2026-10-30T08:26:18.274Z</dcterms:created>
  <dcterms:modified xsi:type="dcterms:W3CDTF">2026-10-30T08:26:18.274Z</dcterms:modified>
</cp:coreProperties>
</file>

<file path=docProps/custom.xml><?xml version="1.0" encoding="utf-8"?>
<Properties xmlns="http://schemas.openxmlformats.org/officeDocument/2006/custom-properties" xmlns:vt="http://schemas.openxmlformats.org/officeDocument/2006/docPropsVTypes"/>
</file>