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rejoindre le département Crédit Portfolio Management de Société Générale CIB en tant que Portfolio Manager sur le secteur des assurances privées. Ce poste, à l'interface entre les lignes métiers de financement, les équipes crédit et risque et le marché de l'assurance crédit, répond à mon envie de comprendre comment une banque de financement et d'investissement protège et pilote son portefeuille. Vérifier les limites de crédit et les notations internes des assureurs avant chaque transaction exige rigueur et fiabilité, deux qualités que je cherche à développer dans un environnement exigeant comme celui de La Défense.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de Master 1 Finance à l'ESSCA m'a donné des bases solides en Quantitative Risk Management, Fixed Income Modeling, Derivative Pricing, Portfolio Management et IFRS, complétées par la certification Bloomberg Market Concepts et un TOEIC de 975 sur 990, utile pour échanger en français comme en anglais. En m'appuyant sur des outils d'IA, j'ai conçu une stratégie algorithmique atteignant un ratio de Sharpe de 0,91 par rapport au SPY sur dix ans de backtest, puis un système de trading sur Polymarket relié à huit plateformes, que j'ai arrêté faute d'avantage net. Ces projets m'ont appris à contrôler la qualité des données, à structurer des fichiers de suivi et à accepter un résultat négatif avec méthode, des réflexes directement utiles pour les reportings et le suivi du portefeuille assuré.</w:t>
      </w:r>
    </w:p>
    <w:p>
      <w:pPr>
        <w:spacing w:after="200"/>
        <w:jc w:val="both"/>
      </w:pPr>
      <w:r>
        <w:rPr>
          <w:rFonts w:ascii="Arial" w:cs="Arial" w:eastAsia="Arial" w:hAnsi="Arial"/>
          <w:sz w:val="22"/>
          <w:szCs w:val="22"/>
        </w:rPr>
        <w:t xml:space="preserve">Mon parcours commercial renforce cette approche. Chez Mecanicus, j'ai participé à plus de dix transactions de gré à gré de 50 000 à 500 000 euros et suivi un stock de 3 millions d'euros, ce qui demande de la précision et de la hiérarchisation des priorités. Mon activité de revendeur indépendant, menée de 2018 à 2025, a généré plus de 10 000 euros de chiffre d'affaires avec environ 50 % de marge, et m'a habitué à gérer seul plusieurs sujets en parallèle.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exposer ma motivation lors d'un entretien et de contribuer concrètement aux travaux de l'équipe.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2026-10-30T08:26:16.813Z</dcterms:created>
  <dcterms:modified xsi:type="dcterms:W3CDTF">2026-10-30T08:26:16.813Z</dcterms:modified>
</cp:coreProperties>
</file>

<file path=docProps/custom.xml><?xml version="1.0" encoding="utf-8"?>
<Properties xmlns="http://schemas.openxmlformats.org/officeDocument/2006/custom-properties" xmlns:vt="http://schemas.openxmlformats.org/officeDocument/2006/docPropsVTypes"/>
</file>