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Tikehau Capital combines the discipline of capital markets with a genuine commitment to sustainable investing, and this is exactly the environment I want to join. I am applying for the ESG Capital Market Strategies internship in Paris because supporting SFDR and SRI reporting, ESG scoring and the monitoring of decarbonisation targets sits at the point where my interest in financial markets meets the questions that now shape asset management.</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At ESSCA, where I am completing my first year of the Master in Finance with a GPA of 3.5/4, my coursework in Fixed Income Modeling, Quantitative Risk Management, Portfolio Management and IFRS gives me a solid understanding of capital markets. I hold the Bloomberg Market Concepts certification and a TOEIC score of 975/990, and I work comfortably in English and French. Using AI tools, I designed a quantitative equity strategy that achieved a Sharpe ratio of 0.91 against the SPY over a ten year backtest, and I built a live trading system on Polymarket that I shut down once the data showed no net edge. These projects taught me to structure data, benchmark results and draw rigorous conclusions, skills that transfer directly to ESG scoring, benchmarking and reporting.</w:t>
      </w:r>
    </w:p>
    <w:p>
      <w:pPr>
        <w:spacing w:after="200"/>
        <w:jc w:val="both"/>
      </w:pPr>
      <w:r>
        <w:rPr>
          <w:rFonts w:ascii="Arial" w:cs="Arial" w:eastAsia="Arial" w:hAnsi="Arial"/>
          <w:sz w:val="22"/>
          <w:szCs w:val="22"/>
        </w:rPr>
        <w:t xml:space="preserve">My commercial background reinforces this analytical approach. At Mecanicus I completed more than ten over the counter transactions between 50,000 and 500,000 euros while managing three million euros of inventory, and as an independent reseller since 2018 I generated more than 10,000 euros of revenue at a margin of about 50 percent. These experiences made me meticulous, autonomous and results oriented, and comfortable preparing clear materials for demanding counterparties.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delighted to discuss how I can contribute to your ESG team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2026-10-30T08:26:27.222Z</dcterms:created>
  <dcterms:modified xsi:type="dcterms:W3CDTF">2026-10-30T08:26:27.223Z</dcterms:modified>
</cp:coreProperties>
</file>

<file path=docProps/custom.xml><?xml version="1.0" encoding="utf-8"?>
<Properties xmlns="http://schemas.openxmlformats.org/officeDocument/2006/custom-properties" xmlns:vt="http://schemas.openxmlformats.org/officeDocument/2006/docPropsVTypes"/>
</file>