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Tikehau Capital's Modelling and Performance team sits at the point where fund modelling, performance indicators and data quality meet across the Group's asset classes, with a strong focus on credit. This is exactly the environment I want to join for my next internship, and I am applying for the Internship Modelling and Performance starting in January 2027 in Paris. Building cash flow projections, tracking NAV, IRR, MOIC and DPI, and turning them into dashboards that investors and management can rely on is work I find both rigorous and genuinely useful.</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My Master in Finance at ESSCA School of Management, with courses in Derivative Pricing, Fixed Income Modeling, Quantitative Risk Management and Portfolio Management, gives me the analytical base for modelling work, and I hold the Bloomberg Market Concepts certification. Beyond the classroom, I use AI tools to design and iterate on quantitative projects: a crisis driven equity strategy that reached a Sharpe ratio of 0.91 against the SPY over a ten year backtest, and a live trading system across eight exchanges with real time P&amp;L tracking, which I shut down once the data showed no net edge. That experience taught me to question assumptions, check data reliability and stay at ease with generative AI tools, which fits the mission of improving internal tools with AI and IT.</w:t>
      </w:r>
    </w:p>
    <w:p>
      <w:pPr>
        <w:spacing w:after="200"/>
        <w:jc w:val="both"/>
      </w:pPr>
      <w:r>
        <w:rPr>
          <w:rFonts w:ascii="Arial" w:cs="Arial" w:eastAsia="Arial" w:hAnsi="Arial"/>
          <w:sz w:val="22"/>
          <w:szCs w:val="22"/>
        </w:rPr>
        <w:t xml:space="preserve">My commercial track has taught me to work with numbers under real conditions. At Mecanicus, I handled more than ten over the counter transactions between 50k and 500k euros on a 3M euro inventory. As an independent reseller from 2018 to 2025, I generated over 10k euros of revenue at roughly 50 percent net margin. These experiences gave me a sense of ownership, clear written and oral communication, and the habit of preparing precise materials for demanding counterparts, which I would bring to due diligence and investor requests.</w:t>
      </w:r>
    </w:p>
    <w:p>
      <w:pPr>
        <w:spacing w:after="200"/>
        <w:jc w:val="both"/>
      </w:pPr>
      <w:r>
        <w:rPr>
          <w:rFonts w:ascii="Arial" w:cs="Arial" w:eastAsia="Arial" w:hAnsi="Arial"/>
          <w:sz w:val="22"/>
          <w:szCs w:val="22"/>
        </w:rPr>
        <w:t xml:space="preserve">I am available from January 2027 for six months.</w:t>
      </w:r>
    </w:p>
    <w:p>
      <w:pPr>
        <w:spacing w:after="200"/>
        <w:jc w:val="both"/>
      </w:pPr>
      <w:r>
        <w:rPr>
          <w:rFonts w:ascii="Arial" w:cs="Arial" w:eastAsia="Arial" w:hAnsi="Arial"/>
          <w:sz w:val="22"/>
          <w:szCs w:val="22"/>
        </w:rPr>
        <w:t xml:space="preserve">I would be delighted to discuss how I can contribute to the Modelling and Performance team and would welcome the opportunity of an interview.</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2026-10-30T08:26:15.156Z</dcterms:created>
  <dcterms:modified xsi:type="dcterms:W3CDTF">2026-10-30T08:26:15.156Z</dcterms:modified>
</cp:coreProperties>
</file>

<file path=docProps/custom.xml><?xml version="1.0" encoding="utf-8"?>
<Properties xmlns="http://schemas.openxmlformats.org/officeDocument/2006/custom-properties" xmlns:vt="http://schemas.openxmlformats.org/officeDocument/2006/docPropsVTypes"/>
</file>