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applying for the Private Debt and Private Equity internship in Frankfurt starting in January 2027 because Tikehau Capital combines credit and equity expertise within one integrated team, which is exactly the environment in which I want to learn how investment decisions are built from the first analysis to the investment committee. Working on both asset classes would give me a complete view of how a deal is sourced, modelled and defended, and I would bring genuine curiosity and rigour to that process.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in Finance at ESSCA, with courses in Fixed Income Modeling, Derivative Pricing, Quantitative Risk Management, Portfolio Management and IFRS, gives me the foundations to read financial statements, build cash flow scenarios and assess credit risk. I complement this with the Bloomberg Market Concepts certification and a TOEIC score of 975/990. Using AI tools, I designed a quantitative equity strategy that achieved a Sharpe ratio of 0.91 against the SPY over a ten year backtest, and I built a live trading system on Polymarket that I shut down once the data showed no net edge. These projects taught me to test a thesis against evidence, to document assumptions and to know when to stop, which are habits I want to bring to credit memos and investment memos.</w:t>
      </w:r>
    </w:p>
    <w:p>
      <w:pPr>
        <w:spacing w:after="200"/>
        <w:jc w:val="both"/>
      </w:pPr>
      <w:r>
        <w:rPr>
          <w:rFonts w:ascii="Arial" w:cs="Arial" w:eastAsia="Arial" w:hAnsi="Arial"/>
          <w:sz w:val="22"/>
          <w:szCs w:val="22"/>
        </w:rPr>
        <w:t xml:space="preserve">My commercial background reinforces this analytical approach. At Mecanicus, I completed more than ten over the counter transactions between 50,000 and 500,000 euros while managing an inventory worth 3 million euros, which taught me to negotiate, to value assets and to stay precise under time pressure. Since 2018, I have also run an independent resale activity that generated more than 10,000 euros of revenue at a net margin of about 50 percent, where I learned to source, price and manage risk with my own capital.</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the Private Debt and Private Equity teams in Frankfurt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2026-10-30T08:26:30.587Z</dcterms:created>
  <dcterms:modified xsi:type="dcterms:W3CDTF">2026-10-30T08:26:30.587Z</dcterms:modified>
</cp:coreProperties>
</file>

<file path=docProps/custom.xml><?xml version="1.0" encoding="utf-8"?>
<Properties xmlns="http://schemas.openxmlformats.org/officeDocument/2006/custom-properties" xmlns:vt="http://schemas.openxmlformats.org/officeDocument/2006/docPropsVTypes"/>
</file>