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Real Estate Investments Analyst internship starting in March 2027 at Tikehau Capital in Paris. Tikehau Capital combines an institutional asset management platform with a genuine investor mindset in real assets, and I would like to contribute to the analysis of real estate investment opportunities within such a team, where rigour and ownership are expected from the first day.</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training in the Master in Finance at ESSCA covers fixed income modeling, portfolio management, quantitative risk management and IFRS, which gives me a solid base to read financial statements, build valuation and return analyses and assess risk on an asset. Outside the classroom, I use AI tools to design and iterate on quantitative projects. Using AI tools, I designed a quantitative equity strategy that achieved a Sharpe ratio of 0.91 against the SPY over a ten year backtest, and I built a live trading system on Polymarket that I shut down once the data showed no net edge. These projects show my analytical discipline, my comfort with large datasets and my ability to harness AI to speed up research and modelling.</w:t>
      </w:r>
    </w:p>
    <w:p>
      <w:pPr>
        <w:spacing w:after="200"/>
        <w:jc w:val="both"/>
      </w:pPr>
      <w:r>
        <w:rPr>
          <w:rFonts w:ascii="Arial" w:cs="Arial" w:eastAsia="Arial" w:hAnsi="Arial"/>
          <w:sz w:val="22"/>
          <w:szCs w:val="22"/>
        </w:rPr>
        <w:t xml:space="preserve">My commercial track also shaped how I approach investment. At Mecanicus, I closed more than ten over the counter transactions between 50k and 500k euros while managing a 3M euro inventory, which taught me negotiation, pricing and counterparty discipline. As an independent reseller since 2018, I generated more than 10k euros of revenue at a margin of about 50 percent, sourcing, valuing and selling assets on my own account.</w:t>
      </w:r>
    </w:p>
    <w:p>
      <w:pPr>
        <w:spacing w:after="200"/>
        <w:jc w:val="both"/>
      </w:pPr>
      <w:r>
        <w:rPr>
          <w:rFonts w:ascii="Arial" w:cs="Arial" w:eastAsia="Arial" w:hAnsi="Arial"/>
          <w:sz w:val="22"/>
          <w:szCs w:val="22"/>
        </w:rPr>
        <w:t xml:space="preserve">I am available from March 2027 for six months.</w:t>
      </w:r>
    </w:p>
    <w:p>
      <w:pPr>
        <w:spacing w:after="200"/>
        <w:jc w:val="both"/>
      </w:pPr>
      <w:r>
        <w:rPr>
          <w:rFonts w:ascii="Arial" w:cs="Arial" w:eastAsia="Arial" w:hAnsi="Arial"/>
          <w:sz w:val="22"/>
          <w:szCs w:val="22"/>
        </w:rPr>
        <w:t xml:space="preserve">I would be glad to discuss how I can support your real estate investment team, and I remain at your disposal for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2026-10-30T08:26:12.750Z</dcterms:created>
  <dcterms:modified xsi:type="dcterms:W3CDTF">2026-10-30T08:26:12.750Z</dcterms:modified>
</cp:coreProperties>
</file>

<file path=docProps/custom.xml><?xml version="1.0" encoding="utf-8"?>
<Properties xmlns="http://schemas.openxmlformats.org/officeDocument/2006/custom-properties" xmlns:vt="http://schemas.openxmlformats.org/officeDocument/2006/docPropsVTypes"/>
</file>