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Quantitative Development &amp; Data Science Intern position within the AI &amp; Quant Development team of TotalEnergies Gas &amp; Power in Geneva. Working beside the electricity, gas and LNG trading desks on optimisation, hedging and forecasting problems is exactly the environment in which I want to build my career in financial markets, and TotalEnergies is one of the few players where quantitative research is tied so directly to physical trading decisions.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in Finance at ESSCA, with a focus on data analytics, has given me solid grounding in derivative pricing, fixed income modelling, stochastic calculus and quantitative risk management. Beyond the classroom, I use AI tools to design and iterate on quantitative strategies. Using AI tools, I designed a quantitative equity strategy that achieved a Sharpe ratio of 0.91 against the SPY over a ten year backtest, and I built a live trading system connected to eight exchanges, with real time P&amp;L monitoring on AWS, which I shut down once the data showed no net edge. These projects taught me to validate assumptions through backtesting, to accept what the numbers say, and to harness AI to move quickly from an idea to a tested model, which I would bring to your research on forecasting and portfolio optimisation.</w:t>
      </w:r>
    </w:p>
    <w:p>
      <w:pPr>
        <w:spacing w:after="200"/>
        <w:jc w:val="both"/>
      </w:pPr>
      <w:r>
        <w:rPr>
          <w:rFonts w:ascii="Arial" w:cs="Arial" w:eastAsia="Arial" w:hAnsi="Arial"/>
          <w:sz w:val="22"/>
          <w:szCs w:val="22"/>
        </w:rPr>
        <w:t xml:space="preserve">I also have a commercial and entrepreneurial track record. At Mecanicus, I assisted on over ten over the counter transactions between 50k and 500k euros and helped manage a three million euro inventory. As an independent reseller since 2018, I generated more than 10k euros of revenue at a margin of about 50 percent. These experiences taught me to price risk, negotiate and stay structured under pressure, qualities that matter when working closely with traders.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could contribute to your team, and I thank you for considering my application.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2026-10-30T08:33:16.393Z</dcterms:created>
  <dcterms:modified xsi:type="dcterms:W3CDTF">2026-10-30T08:33:16.393Z</dcterms:modified>
</cp:coreProperties>
</file>

<file path=docProps/custom.xml><?xml version="1.0" encoding="utf-8"?>
<Properties xmlns="http://schemas.openxmlformats.org/officeDocument/2006/custom-properties" xmlns:vt="http://schemas.openxmlformats.org/officeDocument/2006/docPropsVTypes"/>
</file>