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Le poste de Short Term Power Middle Office Analyst au sein de TotalEnergies à Courbevoie, aux côtés de l'équipe de trading court terme européenne, correspond exactement à ce que je recherche : un rôle où la rigueur du suivi des positions et la publication d'un PnL quotidien fiable conditionnent directement les décisions du desk. Mon intérêt pour les marchés de l'électricité et de l'énergie, et pour la fonction de contrôle qui en garantit la lecture, m'amène à vous proposer ma candidature pour ce stage.</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en Master Finance à l'ESSCA, avec des cours de Derivative Pricing, Fixed Income Modeling, Quantitative Risk Management et IFRS, ainsi que ma certification Bloomberg Market Concepts, me donnent une base solide pour comprendre les produits et les chaînes de valorisation. En m'appuyant sur des outils d'IA, j'ai conçu une stratégie algorithmique atteignant un ratio de Sharpe de 0,91 par rapport au SPY sur dix ans de backtest, puis un système de trading sur Polymarket connecté à huit plateformes, avec suivi du P&amp;L en direct, que j'ai arrêté faute d'avantage net. Cette démarche m'a appris à construire des outils de reporting et de contrôle, à vérifier leurs résultats et à documenter ce qui ne fonctionne pas, ce qui rejoint votre objectif de réduire le risque opérationnel par des solutions intégrées.</w:t>
      </w:r>
    </w:p>
    <w:p>
      <w:pPr>
        <w:spacing w:after="200"/>
        <w:jc w:val="both"/>
      </w:pPr>
      <w:r>
        <w:rPr>
          <w:rFonts w:ascii="Arial" w:cs="Arial" w:eastAsia="Arial" w:hAnsi="Arial"/>
          <w:sz w:val="22"/>
          <w:szCs w:val="22"/>
        </w:rPr>
        <w:t xml:space="preserve">Mon parcours est aussi commercial et entrepreneurial. Chez Mecanicus, j'ai participé à plus de dix transactions de gré à gré de 50 000 à 500 000 euros et suivi un stock de 3 millions d'euros. Comme revendeur indépendant depuis 2018, j'ai généré plus de 10 000 euros de chiffre d'affaires avec environ 50 % de marge nette. Ces expériences m'ont donné le sens du chiffre, de l'autonomie et de l'exactitude, des qualités essentielles pour dialoguer avec le Front Office et la Finance.</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Je serais heureux de vous présenter ma motivation lors d'un entretien et vous remercie de l'attention portée à ma candidature.</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2026-10-30T08:33:26.318Z</dcterms:created>
  <dcterms:modified xsi:type="dcterms:W3CDTF">2026-10-30T08:33:26.319Z</dcterms:modified>
</cp:coreProperties>
</file>

<file path=docProps/custom.xml><?xml version="1.0" encoding="utf-8"?>
<Properties xmlns="http://schemas.openxmlformats.org/officeDocument/2006/custom-properties" xmlns:vt="http://schemas.openxmlformats.org/officeDocument/2006/docPropsVTypes"/>
</file>