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F7B" w14:textId="26F2B6F6" w:rsidR="00D2123F" w:rsidRDefault="00520822" w:rsidP="00520822">
      <w:pPr>
        <w:jc w:val="both"/>
        <w:rPr>
          <w:lang w:val="es-ES"/>
        </w:rPr>
      </w:pPr>
      <w:r>
        <w:rPr>
          <w:lang w:val="es-ES"/>
        </w:rPr>
        <w:t>Ley 11.179:</w:t>
      </w:r>
    </w:p>
    <w:p w14:paraId="22CDB34D" w14:textId="2F842A75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Penas temporales: Transcurrido el término de la condena (art. 16 CP)</w:t>
      </w:r>
    </w:p>
    <w:p w14:paraId="4861BF54" w14:textId="1E2365B5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Penas perpetuas: 5 años luego de otorgada la Libertad Condicional (art. 16 CP, por remisión al plazo de imposición de reglas de conducta del art. 13 CP)</w:t>
      </w:r>
    </w:p>
    <w:p w14:paraId="4F019995" w14:textId="1D6ECA65" w:rsidR="00A01E1B" w:rsidRDefault="00A01E1B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Penas de ejecución condicional: </w:t>
      </w:r>
    </w:p>
    <w:p w14:paraId="699B3CE7" w14:textId="600EC2B3" w:rsidR="00520822" w:rsidRDefault="00520822" w:rsidP="00520822">
      <w:pPr>
        <w:jc w:val="both"/>
        <w:rPr>
          <w:lang w:val="es-ES"/>
        </w:rPr>
      </w:pPr>
      <w:r>
        <w:rPr>
          <w:lang w:val="es-ES"/>
        </w:rPr>
        <w:t xml:space="preserve">Ley </w:t>
      </w:r>
      <w:r>
        <w:rPr>
          <w:lang w:val="es-ES"/>
        </w:rPr>
        <w:t>25.892</w:t>
      </w:r>
      <w:r>
        <w:rPr>
          <w:lang w:val="es-ES"/>
        </w:rPr>
        <w:t>:</w:t>
      </w:r>
    </w:p>
    <w:p w14:paraId="62FB9BF7" w14:textId="149D1509" w:rsidR="00520822" w:rsidRP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20822">
        <w:rPr>
          <w:lang w:val="es-ES"/>
        </w:rPr>
        <w:t xml:space="preserve">Penas perpetuas: </w:t>
      </w:r>
      <w:r>
        <w:rPr>
          <w:lang w:val="es-ES"/>
        </w:rPr>
        <w:t>10</w:t>
      </w:r>
      <w:r w:rsidRPr="00520822">
        <w:rPr>
          <w:lang w:val="es-ES"/>
        </w:rPr>
        <w:t xml:space="preserve"> años luego de otorgada la Libertad Condicional</w:t>
      </w:r>
      <w:r>
        <w:rPr>
          <w:lang w:val="es-ES"/>
        </w:rPr>
        <w:t xml:space="preserve"> (art. 16 CP</w:t>
      </w:r>
      <w:r>
        <w:rPr>
          <w:lang w:val="es-ES"/>
        </w:rPr>
        <w:t>, por remisión al plazo de imposición de reglas de conducta del art. 13 CP</w:t>
      </w:r>
      <w:r>
        <w:rPr>
          <w:lang w:val="es-ES"/>
        </w:rPr>
        <w:t xml:space="preserve"> -art. 13 según el texto de la ley 25.892-)</w:t>
      </w:r>
    </w:p>
    <w:sectPr w:rsidR="00520822" w:rsidRPr="0052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779"/>
    <w:multiLevelType w:val="hybridMultilevel"/>
    <w:tmpl w:val="9A9855BC"/>
    <w:lvl w:ilvl="0" w:tplc="B89CE32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38996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3F"/>
    <w:rsid w:val="00520822"/>
    <w:rsid w:val="00A01E1B"/>
    <w:rsid w:val="00D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45DD"/>
  <w15:chartTrackingRefBased/>
  <w15:docId w15:val="{2FC06CE5-5086-4FD9-97C5-23548328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3</cp:revision>
  <dcterms:created xsi:type="dcterms:W3CDTF">2022-11-13T14:35:00Z</dcterms:created>
  <dcterms:modified xsi:type="dcterms:W3CDTF">2022-11-13T15:13:00Z</dcterms:modified>
</cp:coreProperties>
</file>