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1. Mira tu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14:paraId="7F313DAB"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No del todo. La Fase 1 la cerramos dentro de plazo: la definición del proyecto, el alcance con sus nueve épicas dimensionadas y el modelo de datos con su diccionario quedaron listos antes de la semana 5. En la Fase 2, en cambio, estamos atrasados. La carta Gantt comprometía el desarrollo del núcleo del sistema entre las semanas 5 y 10, y al llegar a la semana 6 el repositorio solo tenía la estructura base del proyecto. El último commit de código es del 10 de septiembre, por lo que estuvimos cerca de tres semanas sin avance real.</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El factor que más nos dificultó fue la contraparte. La reunión de levantamiento con la empresa no resultó como esperábamos: nos indicaron que no tenían problemas de inventario y que evaluarían internamente en qué otra cosa podríamos apoyarlos. Coordinamos dos reuniones más y no se presentaron a ninguna. Mientras esperábamos no sabíamos si el proyecto se mantenía o debía cambiar por completo, y ese tiempo lo perdimos.</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También tuvimos bloqueos de infraestructura. Docker quedó instalado pero sin funcionar, pendiente de un reinicio del equipo, y sin base de datos no es posible aplicar ni verificar las migraciones. Además, al comienzo de la fase Joaquín tuvo bloqueado el acceso a su cuenta de GitHub por el segundo factor de autenticación y trabajó algunos días en local sin poder subir cambios.</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Lo que sí facilitó el trabajo fue haber escrito la documentación técnica antes de empezar a programar: el modelo de datos, las convenciones de código, el registro de decisiones y las zonas de propiedad de cada integrante están en el repositorio. Al retomar después de esas semanas no tuvimos que volver a discutir lo ya decidido. A eso se suma el uso de asistentes de código, que nos permite avanzar más rápido que escribiendo cada clase a mano.</w:t>
            </w: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trPr>
        <w:tc>
          <w:tcPr>
            <w:tcW w:w="10076" w:type="dxa"/>
            <w:shd w:val="clear" w:color="auto" w:fill="DEEAF6" w:themeFill="accent1" w:themeFillTint="33"/>
            <w:vAlign w:val="center"/>
          </w:tcPr>
          <w:p w14:paraId="2106E7A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Con la contraparte reconocemos un error de enfoque. Abrimos la reunión presentando una solución para su inventario, en lugar de preguntar primero qué les complicaba. Al poner la solución antes que el problema, la empresa respondió a la defensiva. Si hubiéramos partido escuchando, probablemente habríamos obtenido información útil aunque el inventario no fuera su problema principal. Es un aprendizaje concreto sobre levantamiento de requerimientos.</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En vez de seguir esperando, lo conversamos con el docente, quien nos confirmó que el proyecto ya estaba aprobado y que no es requisito contar con un cliente real, así que continuamos con Mira. Esto tiene una consecuencia que asumimos: los supuestos del modelo de datos que pensábamos validar con la empresa pasan a ser decisiones de diseño declaradas y justificadas por nosotros, y debemos corregir lo que el informe de Fase 1 afirma sobre la validación con la organización.</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Para el atraso cambiamos la forma de trabajar. Organizamos sprints de dos semanas que terminan con una demostración y escribimos una definición de terminado, para no dar por cerrado algo que está casi listo. El sprint en curso cubre el control de acceso y el inventario por número de serie, partiendo por la migración del esquema, de la que depende todo lo demás. El bloqueo de Docker se resuelve reiniciando el equipo, y eso corresponde hacerlo de inmediato en lugar de seguir postergándolo.</w:t>
            </w:r>
          </w:p>
        </w:tc>
      </w:tr>
    </w:tbl>
    <w:p w14:paraId="120C1991" w14:textId="77777777" w:rsidR="004F2A8B" w:rsidRDefault="004F2A8B" w:rsidP="3D28A338">
      <w:pPr>
        <w:spacing w:after="0" w:line="360" w:lineRule="auto"/>
        <w:jc w:val="both"/>
        <w:rPr>
          <w:color w:val="595959" w:themeColor="text1" w:themeTint="A6"/>
          <w:sz w:val="24"/>
          <w:szCs w:val="24"/>
          <w:lang w:eastAsia="ja-JP"/>
        </w:rPr>
      </w:pPr>
    </w:p>
    <w:p w14:paraId="753D9B33" w14:textId="66F064FE" w:rsidR="004F2A8B" w:rsidRDefault="004F2A8B" w:rsidP="3D28A338">
      <w:pPr>
        <w:spacing w:after="0" w:line="360" w:lineRule="auto"/>
        <w:jc w:val="both"/>
        <w:rPr>
          <w:b/>
          <w:bCs/>
          <w:sz w:val="24"/>
          <w:szCs w:val="24"/>
        </w:rPr>
      </w:pPr>
    </w:p>
    <w:p w14:paraId="2F5F56D7" w14:textId="5CF13EBB" w:rsidR="004F2A8B" w:rsidRDefault="004F2A8B" w:rsidP="3D28A338">
      <w:pPr>
        <w:spacing w:after="0" w:line="360" w:lineRule="auto"/>
        <w:jc w:val="both"/>
        <w:rPr>
          <w:b/>
          <w:bCs/>
          <w:sz w:val="24"/>
          <w:szCs w:val="24"/>
        </w:rPr>
      </w:pPr>
    </w:p>
    <w:p w14:paraId="2E007FED" w14:textId="3FD847F1" w:rsidR="00B25651" w:rsidRDefault="00B25651" w:rsidP="3D28A338">
      <w:pPr>
        <w:spacing w:after="0" w:line="360" w:lineRule="auto"/>
        <w:jc w:val="both"/>
        <w:rPr>
          <w:b/>
          <w:bCs/>
          <w:sz w:val="24"/>
          <w:szCs w:val="24"/>
        </w:rPr>
      </w:pPr>
    </w:p>
    <w:p w14:paraId="674CCA68" w14:textId="77777777" w:rsidR="00B25651" w:rsidRDefault="00B25651" w:rsidP="3D28A338">
      <w:pPr>
        <w:spacing w:after="0" w:line="360" w:lineRule="auto"/>
        <w:jc w:val="both"/>
        <w:rPr>
          <w:b/>
          <w:bCs/>
          <w:sz w:val="24"/>
          <w:szCs w:val="24"/>
        </w:rPr>
      </w:pPr>
    </w:p>
    <w:p w14:paraId="60FFCCC9" w14:textId="77777777" w:rsidR="004F2A8B" w:rsidRDefault="004F2A8B" w:rsidP="3D28A338">
      <w:pPr>
        <w:spacing w:after="0" w:line="360" w:lineRule="auto"/>
        <w:jc w:val="both"/>
        <w:rPr>
          <w:b/>
          <w:bCs/>
          <w:sz w:val="24"/>
          <w:szCs w:val="24"/>
        </w:rPr>
      </w:pPr>
    </w:p>
    <w:p w14:paraId="67DF3A8F" w14:textId="63FC7041" w:rsidR="004F2A8B" w:rsidRDefault="004F2A8B" w:rsidP="3D28A338">
      <w:pPr>
        <w:spacing w:after="0" w:line="360" w:lineRule="auto"/>
        <w:jc w:val="both"/>
        <w:rPr>
          <w:b/>
          <w:bCs/>
          <w:sz w:val="24"/>
          <w:szCs w:val="24"/>
        </w:rPr>
      </w:pPr>
    </w:p>
    <w:p w14:paraId="666B6C04" w14:textId="5CB1E017" w:rsidR="008B2AC7" w:rsidRDefault="008B2AC7" w:rsidP="3D28A338">
      <w:pPr>
        <w:spacing w:after="0" w:line="360" w:lineRule="auto"/>
        <w:jc w:val="both"/>
        <w:rPr>
          <w:b/>
          <w:bCs/>
          <w:sz w:val="24"/>
          <w:szCs w:val="24"/>
        </w:rPr>
      </w:pPr>
    </w:p>
    <w:p w14:paraId="2EEEB842"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lastRenderedPageBreak/>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Evalúo bien la preparación del proyecto y mal el ritmo de ejecución, tanto del equipo como el mío. Destaco la calidad de la documentación que dejamos escrita antes de programar: al someterla a una revisión completa encontramos seis contradicciones y dos decisiones que creíamos tomadas y no lo estaban, y corregirlas en ese momento costó mucho menos que hacerlo con el código ya escrito. También destaco que estamos respetando el flujo de trabajo acordado: una rama por funcionalidad, integración por pull request y revisión cruzada.</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En lo personal, tengo a cargo los controladores, las vistas, el panel de indicadores y el módulo documental. Esa parte todavía no está construida, porque depende de que existan las entidades y los servicios. Aun así, reconozco que no debí quedarme esperando: había trabajo que no dependía de la base de datos, como la plantilla base de las vistas, los fragmentos reutilizables y el diseño de las pantallas, que pude haber adelantado.</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Para mejorar: ponerme fechas propias en lugar de esperar respuestas externas, avisar apenas una tarea se bloquee y adelantar todo lo que no dependa del backend. También necesito reforzar las consultas con Spring Data JPA, que serán clave para el panel de indicadores y corresponden al área de bases de datos que identifiqué en la Fase 1 como la que debo fortalecer.</w:t>
            </w: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14:paraId="1670D69E"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¿Qué inquietudes te quedan sobre cómo proceder? ¿Qué pregunta te gustaría hacerle a tu docente o a tus pares?</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Nos quedan tres inquietudes.</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La primera es sobre la validación. Sin contraparte, ¿cómo se espera que demostremos que el sistema resuelve el problema que planteamos? ¿Bastan las pruebas funcionales y el catálogo de casos de prueba documentado, o conviene hacer pruebas de usabilidad con usuarios sustitutos, por ejemplo compañeros que no conozcan el sistema?</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La segunda es de alcance. Comprometimos nueve épicas dimensionadas en cien puntos de función cuando teníamos dieciocho semanas por delante. Con el atraso acumulado, ¿es preferible entregar las nueve con menos profundidad, o entregar menos épicas bien terminadas y documentar el resto como trabajo futuro? Nos inclinamos por lo segundo, pero queremos saber cómo se evalúa esa decisión.</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La tercera es sobre las evidencias. El marco metodológico pide documentación ágil con Product Vision, backlog priorizado, sprint backlog, definición de terminado, evidencia de retrospectivas y plan de pruebas por sprint. Queremos confirmar el nivel de detalle esperado en cada una y en qué momento se entregan, para no producir documentos que después no sirvan.</w:t>
            </w: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Sí, hay ajustes que hacer. El reparto del código se mantiene, porque funciona y está escrito en el repositorio: Joaquín Romero toma el modelo de datos, las entidades, la capa de servicios y el control de acceso, y Gonzalo Arenas toma los controladores, las vistas, el panel de indicadores y el módulo documental. Las migraciones, la configuración y el archivo de dependencias son zona compartida y se modifican solo de común acuerdo.</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Lo que hay que repartir son las actividades nuevas. La documentación ágil que exige la Fase 2 no estaba asignada a nadie: Joaquín se hace cargo del backlog priorizado, del sprint backlog y de la definición de terminado, que nacen directamente del trabajo técnico, y Gonzalo toma la Product Vision, el tablero en GitHub Projects y la evidencia documental de cada sprint, incluidas las capturas de pantalla de lo que va quedando funcionando. Además, aparece una actividad que antes no existía: reescribir las partes del informe que afirman validación con la empresa y convertir los supuestos del modelo en decisiones de diseño declaradas. La asume Joaquín, por haber sido quien coordinó con la contraparte.</w:t>
            </w: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5C8D2DC3"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APT  grupal</w:t>
            </w:r>
            <w:bookmarkStart w:id="0" w:name="_GoBack"/>
            <w:bookmarkEnd w:id="0"/>
          </w:p>
        </w:tc>
      </w:tr>
      <w:tr w:rsidR="004F2A8B" w14:paraId="2DC141D8" w14:textId="77777777" w:rsidTr="3D28A338">
        <w:trPr>
          <w:trHeight w:val="1639"/>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Lo evaluamos bien, con una corrección pendiente. Lo positivo es que el reparto por zonas de propiedad está claro y nos ha evitado pisarnos el trabajo: cada uno sabe qué archivos son suyos y cuáles requieren avisar al otro antes de modificarlos. La revisión cruzada en los pull requests cumple además otra función: nos obliga a entender todo el sistema y no solo la parte que escribió cada uno, que es lo que necesitaremos en la defensa.</w:t>
            </w:r>
          </w:p>
          <w:p>
            <w:pPr>
              <w:jc w:val="both"/>
              <w:rPr>
                <w:rFonts w:eastAsiaTheme="majorEastAsia"/>
                <w:sz w:val="24"/>
                <w:szCs w:val="24"/>
              </w:rPr>
            </w:pPr>
          </w:p>
          <w:p>
            <w:pPr>
              <w:jc w:val="both"/>
              <w:rPr>
                <w:rFonts w:eastAsiaTheme="majorEastAsia"/>
                <w:sz w:val="24"/>
                <w:szCs w:val="24"/>
              </w:rPr>
            </w:pPr>
            <w:r>
              <w:rPr>
                <w:rFonts w:eastAsiaTheme="majorEastAsia"/>
                <w:sz w:val="24"/>
                <w:szCs w:val="24"/>
              </w:rPr>
              <w:t xml:space="preserve">Lo que tenemos que mejorar es la sincronización. Mantenemos un archivo de estado del proyecto que debería actualizarse al terminar cada sesión de trabajo, y quedó sin tocar desde el 10 de septiembre. Llegamos incluso a no tener claro en qué carpeta estaba la copia de trabajo del proyecto, señal de que avanzamos cada uno por su lado sin comunicarnos lo suficiente. Acordamos dos sincronizaciones fijas por semana, de quince minutos, con ese archivo abierto.</w:t>
            </w:r>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B585EE" w14:textId="77777777" w:rsidR="00A322B2" w:rsidRDefault="00A322B2" w:rsidP="00DF38AE">
      <w:pPr>
        <w:spacing w:after="0" w:line="240" w:lineRule="auto"/>
      </w:pPr>
      <w:r>
        <w:separator/>
      </w:r>
    </w:p>
  </w:endnote>
  <w:endnote w:type="continuationSeparator" w:id="0">
    <w:p w14:paraId="4CC4741C" w14:textId="77777777" w:rsidR="00A322B2" w:rsidRDefault="00A322B2"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C55D98" w14:textId="77777777" w:rsidR="00A322B2" w:rsidRDefault="00A322B2" w:rsidP="00DF38AE">
      <w:pPr>
        <w:spacing w:after="0" w:line="240" w:lineRule="auto"/>
      </w:pPr>
      <w:r>
        <w:separator/>
      </w:r>
    </w:p>
  </w:footnote>
  <w:footnote w:type="continuationSeparator" w:id="0">
    <w:p w14:paraId="354BBEB0" w14:textId="77777777" w:rsidR="00A322B2" w:rsidRDefault="00A322B2"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8F14D6"/>
    <w:rsid w:val="008F14D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openxmlformats.org/package/2006/metadata/core-properties"/>
    <ds:schemaRef ds:uri="http://schemas.microsoft.com/office/infopath/2007/PartnerControls"/>
    <ds:schemaRef ds:uri="http://purl.org/dc/elements/1.1/"/>
    <ds:schemaRef ds:uri="http://schemas.microsoft.com/office/2006/documentManagement/types"/>
    <ds:schemaRef ds:uri="http://schemas.microsoft.com/office/2006/metadata/properties"/>
    <ds:schemaRef ds:uri="126e8a1c-9ea9-435a-ac89-d06c80d62e30"/>
    <ds:schemaRef ds:uri="http://purl.org/dc/terms/"/>
    <ds:schemaRef ds:uri="http://purl.org/dc/dcmitype/"/>
    <ds:schemaRef ds:uri="http://www.w3.org/XML/1998/namespace"/>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237</Words>
  <Characters>1304</Characters>
  <Application>Microsoft Office Word</Application>
  <DocSecurity>0</DocSecurity>
  <Lines>10</Lines>
  <Paragraphs>3</Paragraphs>
  <ScaleCrop>false</ScaleCrop>
  <Company>Wal-Mart Stores, Inc.</Company>
  <LinksUpToDate>false</LinksUpToDate>
  <CharactersWithSpaces>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42</cp:revision>
  <cp:lastPrinted>2019-12-16T20:10:00Z</cp:lastPrinted>
  <dcterms:created xsi:type="dcterms:W3CDTF">2021-12-31T12:50:00Z</dcterms:created>
  <dcterms:modified xsi:type="dcterms:W3CDTF">2023-02-06T15:09:00Z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