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77777777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0F54D6"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Mira – Sistema de gestión y trazabilidad de equipos de geomensura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>01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 xml:space="preserve"/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77777777" w:rsidR="00C82195" w:rsidRPr="00934F44" w:rsidRDefault="00C82195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 w:rsidRPr="00704663">
                      <w:rPr>
                        <w:rFonts w:cstheme="minorHAnsi"/>
                        <w:b/>
                        <w:bCs/>
                        <w:color w:val="FF0000"/>
                      </w:rPr>
                      <w:t xml:space="preserve">16-10-2026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Mira9001" w:history="1">
            <w:r>
              <w:rPr>
                <w:noProof/>
              </w:rPr>
              <w:t xml:space="preserve">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Ficha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2" w:history="1">
            <w:r>
              <w:rPr>
                <w:noProof/>
              </w:rPr>
              <w:t xml:space="preserve">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3" w:history="1">
            <w:r>
              <w:rPr>
                <w:noProof/>
              </w:rPr>
              <w:t xml:space="preserve">4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4" w:history="1">
            <w:r>
              <w:rPr>
                <w:noProof/>
              </w:rPr>
              <w:t xml:space="preserve">4.1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Arquitectura de la 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5" w:history="1">
            <w:r>
              <w:rPr>
                <w:noProof/>
              </w:rPr>
              <w:t xml:space="preserve">4.2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6" w:history="1">
            <w:r>
              <w:rPr>
                <w:noProof/>
              </w:rPr>
              <w:t xml:space="preserve">4.3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7" w:history="1">
            <w:r>
              <w:rPr>
                <w:noProof/>
              </w:rPr>
              <w:t xml:space="preserve">4.3.1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8" w:history="1">
            <w:r>
              <w:rPr>
                <w:noProof/>
              </w:rPr>
              <w:t xml:space="preserve">4.3.2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09" w:history="1">
            <w:r>
              <w:rPr>
                <w:noProof/>
              </w:rPr>
              <w:t xml:space="preserve">4.3.3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0" w:history="1">
            <w:r>
              <w:rPr>
                <w:noProof/>
              </w:rPr>
              <w:t xml:space="preserve">4.4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1" w:history="1">
            <w:r>
              <w:rPr>
                <w:noProof/>
              </w:rPr>
              <w:t xml:space="preserve">4.4.1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2" w:history="1">
            <w:r>
              <w:rPr>
                <w:noProof/>
              </w:rPr>
              <w:t xml:space="preserve">4.4.2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Diagrama de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3" w:history="1">
            <w:r>
              <w:rPr>
                <w:noProof/>
              </w:rPr>
              <w:t xml:space="preserve">5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4" w:history="1">
            <w:r>
              <w:rPr>
                <w:noProof/>
              </w:rPr>
              <w:t xml:space="preserve">6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Estrategia de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Mira9015" w:history="1">
            <w:r>
              <w:rPr>
                <w:noProof/>
              </w:rPr>
              <w:t xml:space="preserve">7</w:t>
            </w:r>
            <w:r>
              <w:rPr>
                <w:noProof/>
              </w:rPr>
              <w:tab/>
            </w:r>
            <w:r>
              <w:rPr>
                <w:noProof/>
              </w:rPr>
              <w:t xml:space="preserve">Innovación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_TocMira9015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9001" w:name="_TocMira9001"/>
      <w:bookmarkStart w:id="0" w:name="_Toc33411057"/>
      <w:bookmarkStart w:id="1" w:name="_Toc24150483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  <w:bookmarkEnd w:id="900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16-10-2026</w:t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01</w:t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Joaquín Romero · Gonzalo Arenas</w:t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t>Versión inicial: arquitectura, casos de uso, modelo E-R, clases, secuencia, componentes, despliegue, requisitos no funcionales, pruebas e innovación.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>
        <w:rPr>
          <w:color w:val="FF0000"/>
          <w:sz w:val="20"/>
        </w:rPr>
        <w:t>16-10-2026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  <w:keepNext/>
      </w:pPr>
      <w:bookmarkStart w:id="9002" w:name="_TocMira9002"/>
      <w:bookmarkStart w:id="2" w:name="_Toc241504831"/>
      <w:r>
        <w:t>Integrantes:</w:t>
      </w:r>
      <w:bookmarkEnd w:id="2"/>
      <w:bookmarkEnd w:id="900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rPr>
          <w:cantSplit/>
        </w:trPr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  <w:cantSplit/>
        </w:trPr>
        <w:tc>
          <w:tcPr>
            <w:tcW w:w="3539" w:type="dxa"/>
            <w:vAlign w:val="center"/>
          </w:tcPr>
          <w:p w14:paraId="6441EB1F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t>Joaquín Romero</w:t>
            </w:r>
          </w:p>
        </w:tc>
        <w:tc>
          <w:tcPr>
            <w:tcW w:w="5275" w:type="dxa"/>
            <w:vAlign w:val="center"/>
          </w:tcPr>
          <w:p w14:paraId="4FE5F9D3" w14:textId="77777777" w:rsidR="000D643C" w:rsidRPr="00934F44" w:rsidRDefault="000D643C" w:rsidP="005D79BE">
            <w:pPr>
              <w:keepNext/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t>Líder de proyecto · Modelo de datos y desarrollo backend</w:t>
            </w:r>
          </w:p>
        </w:tc>
      </w:tr>
      <w:tr w:rsidR="000D643C" w:rsidRPr="00934F44" w14:paraId="2C125E74" w14:textId="77777777" w:rsidTr="000D643C">
        <w:trPr>
          <w:trHeight w:val="465"/>
          <w:cantSplit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Gonzalo Arenas</w:t>
            </w:r>
          </w:p>
        </w:tc>
        <w:tc>
          <w:tcPr>
            <w:tcW w:w="5275" w:type="dxa"/>
            <w:vAlign w:val="center"/>
          </w:tcPr>
          <w:p w14:paraId="06E8CD2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t>Desarrollo frontend · Panel de indicadores y documentación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0D37491" w14:textId="77777777" w:rsidR="00C61DE5" w:rsidRPr="00520512" w:rsidRDefault="00C61DE5" w:rsidP="0084430C">
      <w:pPr>
        <w:jc w:val="both"/>
        <w:rPr>
          <w:lang w:val="es-ES" w:eastAsia="es-ES"/>
        </w:rPr>
      </w:pPr>
    </w:p>
    <w:p>
      <w:pPr>
        <w:pStyle w:val="Ttulo1"/>
      </w:pPr>
      <w:bookmarkStart w:id="9003" w:name="_TocMira9003"/>
      <w:r>
        <w:t>Diseño</w:t>
      </w:r>
      <w:bookmarkEnd w:id="9003"/>
    </w:p>
    <w:p>
      <w:pPr>
        <w:jc w:val="both"/>
      </w:pPr>
      <w:r>
        <w:t>Este documento describe el diseño de Mira con las vistas de UML que exige el marco metodológico: la vista de casos de uso, la vista lógica (modelo entidad-relación, clases y secuencia de la funcionalidad principal) y la vista de despliegue (componentes y contenedores). Se agregan la arquitectura de la solución, los requisitos no funcionales, la estrategia de pruebas y los aspectos de innovación, que completan la documentación transversal del proyecto.</w:t>
      </w:r>
    </w:p>
    <w:p>
      <w:pPr>
        <w:jc w:val="both"/>
      </w:pPr>
      <w:r>
        <w:t>Las fuentes de todos los diagramas están versionadas en el repositorio, en la carpeta docs/diagramas, escritas en PlantUML. Así el diseño evoluciona junto al código y cada cambio queda registrado en el historial con su autor. Las decisiones que justifican el diseño están en la bitácora docs/08-decisiones.md y se citan con su código (D01 a D11).</w:t>
      </w:r>
    </w:p>
    <w:p>
      <w:pPr>
        <w:pStyle w:val="Ttulo2"/>
      </w:pPr>
      <w:bookmarkStart w:id="9004" w:name="_TocMira9004"/>
      <w:r>
        <w:t>Arquitectura de la solución</w:t>
      </w:r>
      <w:bookmarkEnd w:id="9004"/>
    </w:p>
    <w:p>
      <w:pPr>
        <w:jc w:val="both"/>
      </w:pPr>
      <w:r>
        <w:t xml:space="preserve">Mira es una </w:t>
      </w:r>
      <w:r>
        <w:rPr>
          <w:b/>
        </w:rPr>
        <w:t>aplicación web monolítica modular, organizada en capas</w:t>
      </w:r>
      <w:r>
        <w:t xml:space="preserve"> y desplegada como una sola unidad (D03). Se descartaron los microservicios porque ningún módulo tiene un perfil de carga distinto del resto: separarlos agregaría complejidad operacional sin beneficio. También se descartó una interfaz de página única (D02): el sistema son formularios, listados y búsquedas, y las vistas se renderizan en el servidor con Thymeleaf. Existe una API REST acotada, solo para alimentar los gráficos del panel de indicadores.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9326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932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Arquitectura en capas de Mira.</w:t>
      </w:r>
    </w:p>
    <w:p>
      <w:pPr>
        <w:jc w:val="both"/>
      </w:pPr>
      <w:r>
        <w:rPr>
          <w:b/>
        </w:rPr>
        <w:t>Regla de dependencia.</w:t>
      </w:r>
      <w:r>
        <w:t xml:space="preserve"> Cada capa llama solo a la inmediatamente inferior: un controlador nunca accede a un repositorio. La lógica de negocio y las transacciones viven en la capa de servicios, y las entidades no salen de ella: los controladores reciben y devuelven DTOs. </w:t>
      </w:r>
      <w:r>
        <w:rPr>
          <w:b/>
        </w:rPr>
        <w:t>Comunicación entre componentes:</w:t>
      </w:r>
      <w:r>
        <w:t xml:space="preserve"> el navegador se comunica con la aplicación por HTTP mediante formularios y vistas HTML; los gráficos del panel consumen JSON desde la API acotada; la aplicación accede a PostgreSQL por JDBC a través de Spring Data JPA, y guarda los documentos adjuntos en el sistema de archivos, registrando en la base solo su referencia (D06).</w:t>
      </w:r>
    </w:p>
    <w:p>
      <w:pPr>
        <w:keepNext/>
      </w:pPr>
      <w:r>
        <w:rPr>
          <w:b/>
          <w:sz w:val="19"/>
        </w:rPr>
        <w:t>Tabla 1. Stack tecnológico</w:t>
      </w:r>
    </w:p>
    <w:tbl>
      <w:tblPr>
        <w:tblStyle w:val="Tablaconcuadrcula1clara-nfasis1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2160"/>
        <w:gridCol w:w="2880"/>
        <w:gridCol w:w="4031"/>
      </w:tblGrid>
      <w:tr>
        <w:trPr>
          <w:tblHeader/>
        </w:trPr>
        <w:tc>
          <w:tcPr>
            <w:tcW w:type="dxa" w:w="2160"/>
          </w:tcPr>
          <w:p>
            <w:r/>
            <w:r>
              <w:rPr>
                <w:b/>
                <w:sz w:val="19"/>
              </w:rPr>
              <w:t>Capa o necesidad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Tecnología</w:t>
            </w:r>
          </w:p>
        </w:tc>
        <w:tc>
          <w:tcPr>
            <w:tcW w:type="dxa" w:w="4032"/>
          </w:tcPr>
          <w:p>
            <w:r/>
            <w:r>
              <w:rPr>
                <w:b/>
                <w:sz w:val="19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Lenguaje y plataforma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Java 21 · Spring Boot 4.1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Tipado estático y transacciones declarativas para un dominio con muchos estados (D01)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Presentación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Thymeleaf · Bootstrap 5 (</w:t>
            </w:r>
            <w:r>
              <w:rPr>
                <w:i/>
                <w:sz w:val="19"/>
              </w:rPr>
              <w:t>webjar</w:t>
            </w:r>
            <w:r>
              <w:rPr>
                <w:sz w:val="19"/>
              </w:rPr>
              <w:t>) · Chart.js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 xml:space="preserve">Un solo proyecto sin </w:t>
            </w:r>
            <w:r>
              <w:rPr>
                <w:i/>
                <w:sz w:val="19"/>
              </w:rPr>
              <w:t>frontend</w:t>
            </w:r>
            <w:r>
              <w:rPr>
                <w:sz w:val="19"/>
              </w:rPr>
              <w:t xml:space="preserve"> separado; Bootstrap viaja dentro del .jar para no depender de la red en la defensa (D10)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Seguridad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Spring Security · BCrypt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Autenticación por sesión y autorización por rol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Persistencia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Spring Data JPA · PostgreSQL 16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Auditoría nativa y base relacional robusta y gratuita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Esquema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Flyway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Migraciones versionadas e inmutables, el esquema nunca lo genera Hibernate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Pruebas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JUnit 5 · Mockito · Testcontainers · JaCoCo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Pruebas unitarias, de integración contra PostgreSQL real y cobertura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Entorno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Docker · Docker Compose · Maven Wrapper</w:t>
            </w:r>
          </w:p>
        </w:tc>
        <w:tc>
          <w:tcPr>
            <w:tcW w:type="dxa" w:w="4032"/>
          </w:tcPr>
          <w:p>
            <w:r/>
            <w:r>
              <w:rPr>
                <w:sz w:val="19"/>
              </w:rPr>
              <w:t>Entorno reproducible en cualquier equipo</w:t>
            </w:r>
          </w:p>
        </w:tc>
      </w:tr>
    </w:tbl>
    <w:p>
      <w:pPr/>
    </w:p>
    <w:p>
      <w:pPr>
        <w:pStyle w:val="Ttulo2"/>
      </w:pPr>
      <w:bookmarkStart w:id="9005" w:name="_TocMira9005"/>
      <w:r>
        <w:t>Diagrama de Casos de Uso</w:t>
      </w:r>
      <w:bookmarkEnd w:id="9005"/>
    </w:p>
    <w:p>
      <w:pPr>
        <w:jc w:val="both"/>
      </w:pPr>
      <w:r>
        <w:t xml:space="preserve">El diagrama muestra los cuatro actores, que corresponden a los cuatro roles del sistema, y los casos de uso agrupados por área. El caso </w:t>
      </w:r>
      <w:r>
        <w:rPr>
          <w:b/>
        </w:rPr>
        <w:t>Validar disponibilidad</w:t>
      </w:r>
      <w:r>
        <w:t xml:space="preserve"> se incluye obligatoriamente en el registro de un arriendo y de una venta: es la regla que impide comprometer un equipo dos veces. </w:t>
      </w:r>
      <w:r>
        <w:rPr>
          <w:b/>
        </w:rPr>
        <w:t>Agendar capacitación</w:t>
      </w:r>
      <w:r>
        <w:t xml:space="preserve"> extiende el registro de un arriendo cuando la categoría del equipo lo requiere.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7974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7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Diagrama de casos de uso.</w:t>
      </w:r>
    </w:p>
    <w:p>
      <w:pPr>
        <w:keepNext/>
      </w:pPr>
      <w:r>
        <w:rPr>
          <w:b/>
          <w:sz w:val="19"/>
        </w:rPr>
        <w:t>Tabla 2. Trazabilidad entre casos de uso e historias de usuario</w:t>
      </w:r>
    </w:p>
    <w:tbl>
      <w:tblPr>
        <w:tblStyle w:val="Tablaconcuadrcula1clara-nfasis1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4031"/>
        <w:gridCol w:w="2736"/>
        <w:gridCol w:w="2304"/>
      </w:tblGrid>
      <w:tr>
        <w:trPr>
          <w:tblHeader/>
        </w:trPr>
        <w:tc>
          <w:tcPr>
            <w:tcW w:type="dxa" w:w="4032"/>
          </w:tcPr>
          <w:p>
            <w:r/>
            <w:r>
              <w:rPr>
                <w:b/>
                <w:sz w:val="19"/>
              </w:rPr>
              <w:t>Caso de uso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Actor principal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Historias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Iniciar sesión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Todos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HU-01, HU-03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Gestionar usuarios y roles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HU-02, HU-06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Registrar equipo por número de serie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Encargado de bodega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HU-04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Consultar ficha e historial del equipo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Encargado de bodega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HU-05, HU-07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Administrar bodegas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Administrador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HU-08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Registrar traslado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Encargado de bodega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HU-09, HU-10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Consultar disponibilidad consolidada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Vendedor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HU-11, HU-12, HU-13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Registrar arriendo / Validar disponibilidad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Vendedor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HU-14, HU-17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Registrar retorno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Encargado de bodega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HU-15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Registrar venta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Vendedor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HU-18, HU-19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Agendar capacitación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Vendedor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HU-20, HU-21, HU-22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Adjuntar documento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Encargado de bodega, Vendedor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HU-23, HU-24, HU-25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9"/>
              </w:rPr>
              <w:t>Consultar panel / Revisar alertas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Jefatura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HU-16, HU-26, HU-27, HU-28</w:t>
            </w:r>
          </w:p>
        </w:tc>
      </w:tr>
    </w:tbl>
    <w:p>
      <w:pPr/>
    </w:p>
    <w:p>
      <w:pPr>
        <w:pStyle w:val="Ttulo2"/>
      </w:pPr>
      <w:bookmarkStart w:id="9006" w:name="_TocMira9006"/>
      <w:r>
        <w:t>Vista Lógica</w:t>
      </w:r>
      <w:bookmarkEnd w:id="9006"/>
    </w:p>
    <w:p>
      <w:pPr>
        <w:pStyle w:val="Ttulo3"/>
      </w:pPr>
      <w:bookmarkStart w:id="9007" w:name="_TocMira9007"/>
      <w:r>
        <w:t>Modelo E-R</w:t>
      </w:r>
      <w:bookmarkEnd w:id="9007"/>
    </w:p>
    <w:p>
      <w:pPr>
        <w:jc w:val="both"/>
      </w:pPr>
      <w:r>
        <w:t>El modelo relacional tiene catorce tablas, creadas por la migración V1_</w:t>
      </w:r>
      <w:r>
        <w:rPr>
          <w:i/>
        </w:rPr>
        <w:t>esquema</w:t>
      </w:r>
      <w:r>
        <w:t>inicial.sql y verificadas con una prueba automatizada contra PostgreSQL 16. Las decisiones que lo explican son cinco:</w:t>
      </w:r>
    </w:p>
    <w:p>
      <w:pPr>
        <w:pStyle w:val="Prrafodelista"/>
        <w:numPr>
          <w:ilvl w:val="0"/>
          <w:numId w:val="4"/>
        </w:numPr>
        <w:jc w:val="both"/>
      </w:pPr>
      <w:r>
        <w:rPr>
          <w:b/>
        </w:rPr>
        <w:t>El equipo es una unidad individual.</w:t>
      </w:r>
      <w:r>
        <w:t xml:space="preserve"> Cada instrumento físico es una fila de equipo, identificada por su número de serie. Es la decisión que hace posible toda la trazabilidad.</w:t>
      </w:r>
    </w:p>
    <w:p>
      <w:pPr>
        <w:pStyle w:val="Prrafodelista"/>
        <w:numPr>
          <w:ilvl w:val="0"/>
          <w:numId w:val="4"/>
        </w:numPr>
        <w:jc w:val="both"/>
      </w:pPr>
      <w:r>
        <w:rPr>
          <w:b/>
        </w:rPr>
        <w:t>Toda entidad de negocio pertenece a una empresa (D04).</w:t>
      </w:r>
      <w:r>
        <w:t xml:space="preserve"> Las claves únicas del negocio lo son por empresa, por ejemplo (empresa</w:t>
      </w:r>
      <w:r>
        <w:rPr>
          <w:i/>
        </w:rPr>
        <w:t>id, numero</w:t>
      </w:r>
      <w:r>
        <w:t>serie). Las excepciones deliberadas son venta, arriendo y operacion_detalle, que heredan la empresa de su tabla padre.</w:t>
      </w:r>
    </w:p>
    <w:p>
      <w:pPr>
        <w:pStyle w:val="Prrafodelista"/>
        <w:numPr>
          <w:ilvl w:val="0"/>
          <w:numId w:val="4"/>
        </w:numPr>
        <w:jc w:val="both"/>
      </w:pPr>
      <w:r>
        <w:rPr>
          <w:b/>
        </w:rPr>
        <w:t>El estado del equipo se deriva de sus movimientos.</w:t>
      </w:r>
      <w:r>
        <w:t xml:space="preserve"> La tabla movimiento es de solo inserción y es la fuente de verdad; equipo.estado es una proyección que nunca cambia sin su movimiento, en la misma transacción.</w:t>
      </w:r>
    </w:p>
    <w:p>
      <w:pPr>
        <w:pStyle w:val="Prrafodelista"/>
        <w:numPr>
          <w:ilvl w:val="0"/>
          <w:numId w:val="4"/>
        </w:numPr>
        <w:jc w:val="both"/>
      </w:pPr>
      <w:r>
        <w:rPr>
          <w:b/>
        </w:rPr>
        <w:t>Una operación agrupa varios equipos.</w:t>
      </w:r>
      <w:r>
        <w:t xml:space="preserve"> Venta y arriendo heredan de operacion con estrategia JOINED y se relacionan con los equipos mediante operacion_detalle, porque un cliente arrienda varios equipos en un mismo contrato.</w:t>
      </w:r>
    </w:p>
    <w:p>
      <w:pPr>
        <w:pStyle w:val="Prrafodelista"/>
        <w:numPr>
          <w:ilvl w:val="0"/>
          <w:numId w:val="4"/>
        </w:numPr>
        <w:jc w:val="both"/>
      </w:pPr>
      <w:r>
        <w:rPr>
          <w:b/>
        </w:rPr>
        <w:t>Lo que se calcula no se almacena (D05).</w:t>
      </w:r>
      <w:r>
        <w:t xml:space="preserve"> La disponibilidad, el estado del arriendo, los días de atraso, la utilización y los totales se calculan, para que nunca se desincronicen de la realidad.</w:t>
      </w:r>
    </w:p>
    <w:p>
      <w:pPr>
        <w:jc w:val="both"/>
      </w:pPr>
      <w:r>
        <w:t>El diagrama se presenta en la página siguiente, en orientación horizontal. El diccionario de datos completo, con tipos, nulabilidad y descripción de cada columna, está en docs/03-modelo-datos.md.</w:t>
      </w:r>
    </w:p>
    <w:p>
      <w:pPr>
        <w:sectPr>
          <w:headerReference w:type="default" r:id="rId12"/>
          <w:footerReference w:type="default" r:id="rId13"/>
          <w:headerReference w:type="first" r:id="rId14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0121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-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12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Modelo entidad-relación de Mira (todas las tablas incluyen además los cuatro campos de auditoría).</w:t>
      </w:r>
    </w:p>
    <w:p>
      <w:pPr>
        <w:sectPr>
          <w:pgSz w:w="15840" w:h="12240" w:orient="landscape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keepNext/>
      </w:pPr>
      <w:r>
        <w:rPr>
          <w:b/>
          <w:sz w:val="19"/>
        </w:rPr>
        <w:t>Tabla 3. Enumerados del modelo</w:t>
      </w:r>
    </w:p>
    <w:tbl>
      <w:tblPr>
        <w:tblStyle w:val="Tablaconcuadrcula1clara-nfasis1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2304"/>
        <w:gridCol w:w="6768"/>
      </w:tblGrid>
      <w:tr>
        <w:trPr>
          <w:tblHeader/>
        </w:trPr>
        <w:tc>
          <w:tcPr>
            <w:tcW w:type="dxa" w:w="2304"/>
          </w:tcPr>
          <w:p>
            <w:r/>
            <w:r>
              <w:rPr>
                <w:b/>
                <w:sz w:val="19"/>
              </w:rPr>
              <w:t>Enumerado</w:t>
            </w:r>
          </w:p>
        </w:tc>
        <w:tc>
          <w:tcPr>
            <w:tcW w:type="dxa" w:w="6768"/>
          </w:tcPr>
          <w:p>
            <w:r/>
            <w:r>
              <w:rPr>
                <w:b/>
                <w:sz w:val="19"/>
              </w:rPr>
              <w:t>Valores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estado_equipo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DISPONIBLE, ARRENDADO, EN</w:t>
            </w:r>
            <w:r>
              <w:rPr>
                <w:i/>
                <w:sz w:val="19"/>
              </w:rPr>
              <w:t>TRANSITO, EN</w:t>
            </w:r>
            <w:r>
              <w:rPr>
                <w:sz w:val="19"/>
              </w:rPr>
              <w:t>MANTENCION, VENDIDO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tipo_movimiento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INGRESO, TRASLADO</w:t>
            </w:r>
            <w:r>
              <w:rPr>
                <w:i/>
                <w:sz w:val="19"/>
              </w:rPr>
              <w:t>SALIDA, TRASLADO</w:t>
            </w:r>
            <w:r>
              <w:rPr>
                <w:sz w:val="19"/>
              </w:rPr>
              <w:t>LLEGADA, SALIDA</w:t>
            </w:r>
            <w:r>
              <w:rPr>
                <w:i/>
                <w:sz w:val="19"/>
              </w:rPr>
              <w:t>ARRIENDO, RETORNO</w:t>
            </w:r>
            <w:r>
              <w:rPr>
                <w:sz w:val="19"/>
              </w:rPr>
              <w:t>ARRIENDO, SALIDA</w:t>
            </w:r>
            <w:r>
              <w:rPr>
                <w:i/>
                <w:sz w:val="19"/>
              </w:rPr>
              <w:t>VENTA, ENTRADA</w:t>
            </w:r>
            <w:r>
              <w:rPr>
                <w:sz w:val="19"/>
              </w:rPr>
              <w:t>MANTENCION, SALIDA_MANTENCION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rol_usuario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ADMINISTRADOR, ENCARGADO_BODEGA, VENDEDOR, JEFATURA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tipo_operacion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VENTA, ARRIENDO (discriminador de la herencia)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tipo_documento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ORDEN</w:t>
            </w:r>
            <w:r>
              <w:rPr>
                <w:i/>
                <w:sz w:val="19"/>
              </w:rPr>
              <w:t>COMPRA, GUIA</w:t>
            </w:r>
            <w:r>
              <w:rPr>
                <w:sz w:val="19"/>
              </w:rPr>
              <w:t>DESPACHO, FACTURA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estado_capacitacion</w:t>
            </w:r>
          </w:p>
        </w:tc>
        <w:tc>
          <w:tcPr>
            <w:tcW w:type="dxa" w:w="6768"/>
          </w:tcPr>
          <w:p>
            <w:r/>
            <w:r>
              <w:rPr>
                <w:sz w:val="19"/>
              </w:rPr>
              <w:t>PROGRAMADA, REALIZADA, CANCELADA</w:t>
            </w:r>
          </w:p>
        </w:tc>
      </w:tr>
    </w:tbl>
    <w:p>
      <w:pPr/>
    </w:p>
    <w:p>
      <w:pPr>
        <w:jc w:val="both"/>
      </w:pPr>
      <w:r>
        <w:rPr>
          <w:b/>
        </w:rPr>
        <w:t>Escalabilidad.</w:t>
      </w:r>
      <w:r>
        <w:t xml:space="preserve"> El modelo admite el crecimiento en bodegas, equipos y operaciones sin rediseño: las relaciones son de uno a muchos, los índices cubren las consultas frecuentes ((empresa</w:t>
      </w:r>
      <w:r>
        <w:rPr>
          <w:i/>
        </w:rPr>
        <w:t>id, estado), (empresa</w:t>
      </w:r>
      <w:r>
        <w:t>id, categoria</w:t>
      </w:r>
      <w:r>
        <w:rPr>
          <w:i/>
        </w:rPr>
        <w:t>id), (equipo</w:t>
      </w:r>
      <w:r>
        <w:t>id, fecha) y fecha</w:t>
      </w:r>
      <w:r>
        <w:rPr>
          <w:i/>
        </w:rPr>
        <w:t>retorno</w:t>
      </w:r>
      <w:r>
        <w:t>comprometida) y la columna empresa_id deja preparado el sistema para atender a más de una empresa.</w:t>
      </w:r>
    </w:p>
    <w:p>
      <w:pPr>
        <w:pStyle w:val="Ttulo3"/>
      </w:pPr>
      <w:bookmarkStart w:id="9008" w:name="_TocMira9008"/>
      <w:r>
        <w:t>Diagrama de Clases</w:t>
      </w:r>
      <w:bookmarkEnd w:id="9008"/>
    </w:p>
    <w:p>
      <w:pPr>
        <w:jc w:val="both"/>
      </w:pPr>
      <w:r>
        <w:t>El diagrama de clases muestra el modelo de dominio que implementan las entidades JPA. Todas las entidades de negocio heredan de una clase base que registra la auditoría (quién creó o modificó el registro y cuándo), gestionada por Spring Data JPA. Operacion es abstracta y se especializa en Venta y Arriendo. Los métodos de dominio, como Arriendo.estaVencido o Arriendo.total, calculan en lugar de almacenar, según la decisión D05.</w:t>
      </w:r>
    </w:p>
    <w:p>
      <w:pPr>
        <w:sectPr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33852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es-domini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8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Diagrama de clases del dominio.</w:t>
      </w:r>
    </w:p>
    <w:p>
      <w:pPr>
        <w:sectPr>
          <w:pgSz w:w="15840" w:h="12240" w:orient="landscape"/>
          <w:pgMar w:top="1417" w:right="1701" w:bottom="1417" w:left="1701" w:header="708" w:footer="708" w:gutter="0"/>
          <w:cols w:space="708"/>
          <w:docGrid w:linePitch="360"/>
        </w:sectPr>
      </w:pPr>
    </w:p>
    <w:p>
      <w:pPr>
        <w:jc w:val="both"/>
      </w:pPr>
      <w:r>
        <w:t>Cada entidad del dominio tiene su repositorio, su servicio, su controlador y sus DTOs dentro del paquete de su área de negocio, con los nombres de la convención del proyecto: EquipoRepository, EquipoService, EquipoController, RegistrarEquipoRequest y EquipoResponse. Los DTOs son record de Java y el mapeo entre entidades y DTOs se escribe a mano en el servicio (D08).</w:t>
      </w:r>
    </w:p>
    <w:p>
      <w:pPr>
        <w:pStyle w:val="Ttulo3"/>
      </w:pPr>
      <w:bookmarkStart w:id="9009" w:name="_TocMira9009"/>
      <w:r>
        <w:t>Diagrama de Secuencia</w:t>
      </w:r>
      <w:bookmarkEnd w:id="9009"/>
    </w:p>
    <w:p>
      <w:pPr>
        <w:jc w:val="both"/>
      </w:pPr>
      <w:r>
        <w:t xml:space="preserve">La funcionalidad principal del sistema es el </w:t>
      </w:r>
      <w:r>
        <w:rPr>
          <w:b/>
        </w:rPr>
        <w:t>registro de un arriendo</w:t>
      </w:r>
      <w:r>
        <w:t>, porque concentra la regla crítica del negocio: un equipo no puede comprometerse en dos operaciones a la vez. El diagrama muestra el flujo completo, incluido el caso de rechazo.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03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encia-registrar-arrien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Secuencia del registro de un arriendo.</w:t>
      </w:r>
    </w:p>
    <w:p>
      <w:pPr>
        <w:pStyle w:val="Prrafodelista"/>
        <w:numPr>
          <w:ilvl w:val="0"/>
          <w:numId w:val="4"/>
        </w:numPr>
        <w:jc w:val="both"/>
      </w:pPr>
      <w:r>
        <w:t>El controlador solo valida el formato de la solicitud y entrega al servicio el identificador de la empresa del usuario autenticado, como parámetro explícito (D07).</w:t>
      </w:r>
    </w:p>
    <w:p>
      <w:pPr>
        <w:pStyle w:val="Prrafodelista"/>
        <w:numPr>
          <w:ilvl w:val="0"/>
          <w:numId w:val="4"/>
        </w:numPr>
        <w:jc w:val="both"/>
      </w:pPr>
      <w:r>
        <w:t>El servicio está anotado con @Transactional: la operación, sus líneas, el cambio de estado de cada equipo y sus movimientos se escriben juntos o no se escribe nada.</w:t>
      </w:r>
    </w:p>
    <w:p>
      <w:pPr>
        <w:pStyle w:val="Prrafodelista"/>
        <w:numPr>
          <w:ilvl w:val="0"/>
          <w:numId w:val="4"/>
        </w:numPr>
        <w:jc w:val="both"/>
      </w:pPr>
      <w:r>
        <w:t>Los equipos se leen con bloqueo (SELECT … FOR UPDATE), de modo que dos vendedores no puedan arrendar el mismo equipo al mismo tiempo.</w:t>
      </w:r>
    </w:p>
    <w:p>
      <w:pPr>
        <w:pStyle w:val="Prrafodelista"/>
        <w:numPr>
          <w:ilvl w:val="0"/>
          <w:numId w:val="4"/>
        </w:numPr>
        <w:jc w:val="both"/>
      </w:pPr>
      <w:r>
        <w:t>El módulo de operaciones no escribe en las tablas del inventario: lo hace a través de EquipoService, que registra el cambio de estado y su movimiento.</w:t>
      </w:r>
    </w:p>
    <w:p>
      <w:pPr>
        <w:pStyle w:val="Prrafodelista"/>
        <w:numPr>
          <w:ilvl w:val="0"/>
          <w:numId w:val="4"/>
        </w:numPr>
        <w:jc w:val="both"/>
      </w:pPr>
      <w:r>
        <w:t>Si un solo equipo no está disponible, se lanza una excepción de dominio, la transacción se revierte y el usuario recibe un mensaje en el lenguaje del negocio.</w:t>
      </w:r>
    </w:p>
    <w:p>
      <w:pPr>
        <w:pStyle w:val="Ttulo2"/>
      </w:pPr>
      <w:bookmarkStart w:id="9010" w:name="_TocMira9010"/>
      <w:r>
        <w:t>Vista Despliegue</w:t>
      </w:r>
      <w:bookmarkEnd w:id="9010"/>
    </w:p>
    <w:p>
      <w:pPr>
        <w:pStyle w:val="Ttulo3"/>
      </w:pPr>
      <w:bookmarkStart w:id="9011" w:name="_TocMira9011"/>
      <w:r>
        <w:t>Diagrama de Componentes</w:t>
      </w:r>
      <w:bookmarkEnd w:id="9011"/>
    </w:p>
    <w:p>
      <w:pPr>
        <w:jc w:val="both"/>
      </w:pPr>
      <w:r>
        <w:t>Los componentes corresponden a los paquetes de la aplicación, organizados por área de negocio y no por tipo técnico. Cada paquete contiene sus propias entidades, repositorios, servicios, controladores y DTOs. La dependencia entre módulos se da solo a través de servicios.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4330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Diagrama de componentes.</w:t>
      </w:r>
    </w:p>
    <w:p>
      <w:pPr>
        <w:keepNext/>
      </w:pPr>
      <w:r>
        <w:rPr>
          <w:b/>
          <w:sz w:val="19"/>
        </w:rPr>
        <w:t>Tabla 4. Componentes y zonas de propiedad</w:t>
      </w:r>
    </w:p>
    <w:tbl>
      <w:tblPr>
        <w:tblStyle w:val="Tablaconcuadrcula1clara-nfasis1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1872"/>
        <w:gridCol w:w="3744"/>
        <w:gridCol w:w="1584"/>
        <w:gridCol w:w="1872"/>
      </w:tblGrid>
      <w:tr>
        <w:trPr>
          <w:tblHeader/>
        </w:trPr>
        <w:tc>
          <w:tcPr>
            <w:tcW w:type="dxa" w:w="1872"/>
          </w:tcPr>
          <w:p>
            <w:r/>
            <w:r>
              <w:rPr>
                <w:b/>
                <w:sz w:val="19"/>
              </w:rPr>
              <w:t>Componente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Responsabilidad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Épicas</w:t>
            </w:r>
          </w:p>
        </w:tc>
        <w:tc>
          <w:tcPr>
            <w:tcW w:type="dxa" w:w="1872"/>
          </w:tcPr>
          <w:p>
            <w:r/>
            <w:r>
              <w:rPr>
                <w:b/>
                <w:sz w:val="19"/>
              </w:rPr>
              <w:t>Responsable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config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Seguridad, configuración web y beans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Ambos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usuarios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Usuarios, roles y autenticación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E001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Ambos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inventario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Equipos, categorías, bodegas, traslados e historial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E002, E003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Joaquín Romero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operaciones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Ventas, arriendos, retornos y disponibilidad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E004, E005, E006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Joaquín Romero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capacitaciones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Agenda de capacitaciones y técnicos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E007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Joaquín Romero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documentos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Documentos adjuntos a las operaciones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E008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Gonzalo Arenas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indicadores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Panel de indicadores y alertas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E009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Gonzalo Arenas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common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Auditoría, excepciones y utilidades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Transversal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Joaquín Romero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Controladores y vistas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Capa de presentación de todos los módulos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Todas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Gonzalo Arenas</w:t>
            </w:r>
          </w:p>
        </w:tc>
      </w:tr>
    </w:tbl>
    <w:p>
      <w:pPr/>
    </w:p>
    <w:p>
      <w:pPr>
        <w:jc w:val="both"/>
      </w:pPr>
      <w:r>
        <w:t>Las zonas de propiedad permiten que los dos integrantes trabajen en paralelo sin interferir: trabajar en la propia zona no requiere aviso, mientras que la configuración, las migraciones y el paquete de usuarios son zona compartida y se modifican por acuerdo.</w:t>
      </w:r>
    </w:p>
    <w:p>
      <w:pPr>
        <w:pStyle w:val="Ttulo3"/>
      </w:pPr>
      <w:bookmarkStart w:id="9012" w:name="_TocMira9012"/>
      <w:r>
        <w:t>Diagrama de Despliegue</w:t>
      </w:r>
      <w:bookmarkEnd w:id="9012"/>
    </w:p>
    <w:p>
      <w:pPr>
        <w:jc w:val="both"/>
      </w:pPr>
      <w:r>
        <w:t>La solución se despliega con contenedores Docker, lo que hace que el ambiente de demostración sea idéntico al de desarrollo. La aplicación y la base de datos corren en contenedores separados, orquestados con Docker Compose sobre una máquina virtual de capa gratuita.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23360" cy="39066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spliegu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390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Diagrama de despliegue con Docker.</w:t>
      </w:r>
    </w:p>
    <w:p>
      <w:pPr>
        <w:keepNext/>
      </w:pPr>
      <w:r>
        <w:rPr>
          <w:b/>
          <w:sz w:val="19"/>
        </w:rPr>
        <w:t>Tabla 5. Servicios de Docker Compose</w:t>
      </w:r>
    </w:p>
    <w:tbl>
      <w:tblPr>
        <w:tblStyle w:val="Tablaconcuadrcula1clara-nfasis1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864"/>
        <w:gridCol w:w="2304"/>
        <w:gridCol w:w="1584"/>
        <w:gridCol w:w="1728"/>
        <w:gridCol w:w="2592"/>
      </w:tblGrid>
      <w:tr>
        <w:trPr>
          <w:tblHeader/>
        </w:trPr>
        <w:tc>
          <w:tcPr>
            <w:tcW w:type="dxa" w:w="864"/>
          </w:tcPr>
          <w:p>
            <w:r/>
            <w:r>
              <w:rPr>
                <w:b/>
                <w:sz w:val="19"/>
              </w:rPr>
              <w:t>Servicio</w:t>
            </w:r>
          </w:p>
        </w:tc>
        <w:tc>
          <w:tcPr>
            <w:tcW w:type="dxa" w:w="2304"/>
          </w:tcPr>
          <w:p>
            <w:r/>
            <w:r>
              <w:rPr>
                <w:b/>
                <w:sz w:val="19"/>
              </w:rPr>
              <w:t>Imagen</w:t>
            </w:r>
          </w:p>
        </w:tc>
        <w:tc>
          <w:tcPr>
            <w:tcW w:type="dxa" w:w="1584"/>
          </w:tcPr>
          <w:p>
            <w:r/>
            <w:r>
              <w:rPr>
                <w:b/>
                <w:sz w:val="19"/>
              </w:rPr>
              <w:t>Puerto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Persistencia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db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postgres:16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5432 (red interna)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Volumen pgdata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Implementado en docker-compose.yml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9"/>
              </w:rPr>
              <w:t>app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eclipse-temurin:21-jre con mira.jar</w:t>
            </w:r>
          </w:p>
        </w:tc>
        <w:tc>
          <w:tcPr>
            <w:tcW w:type="dxa" w:w="1584"/>
          </w:tcPr>
          <w:p>
            <w:r/>
            <w:r>
              <w:rPr>
                <w:sz w:val="19"/>
              </w:rPr>
              <w:t>8080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Volumen uploads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Planificado: Dockerfile para la implantación (semana 16)</w:t>
            </w:r>
          </w:p>
        </w:tc>
      </w:tr>
    </w:tbl>
    <w:p>
      <w:pPr/>
    </w:p>
    <w:p>
      <w:pPr>
        <w:jc w:val="both"/>
      </w:pPr>
      <w:r>
        <w:t>Hoy el archivo docker-compose.yml del repositorio levanta el servicio de base de datos, y la aplicación se ejecuta con el Maven Wrapper. Los valores por omisión de application.yml permiten clonar el repositorio y levantar el sistema sin configurar nada, condición que mide la prueba PNF-16. Las migraciones de Flyway se aplican automáticamente al arrancar la aplicación.</w:t>
      </w:r>
    </w:p>
    <w:p>
      <w:pPr>
        <w:pStyle w:val="Ttulo1"/>
      </w:pPr>
      <w:bookmarkStart w:id="9013" w:name="_TocMira9013"/>
      <w:r>
        <w:t>Requisitos no funcionales</w:t>
      </w:r>
      <w:bookmarkEnd w:id="9013"/>
    </w:p>
    <w:p>
      <w:pPr>
        <w:jc w:val="both"/>
      </w:pPr>
      <w:r>
        <w:t>Los requisitos no funcionales se expresan con un criterio medible y una forma de verificación. Cada uno corresponde a una prueba no funcional (PNF) del catálogo de casos de prueba.</w:t>
      </w:r>
    </w:p>
    <w:p>
      <w:pPr>
        <w:keepNext/>
      </w:pPr>
      <w:r>
        <w:rPr>
          <w:b/>
          <w:sz w:val="19"/>
        </w:rPr>
        <w:t>Tabla 6. Requisitos no funcionales</w:t>
      </w:r>
    </w:p>
    <w:tbl>
      <w:tblPr>
        <w:tblStyle w:val="Tablaconcuadrcula1clara-nfasis1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1007"/>
        <w:gridCol w:w="1728"/>
        <w:gridCol w:w="2592"/>
        <w:gridCol w:w="3744"/>
      </w:tblGrid>
      <w:tr>
        <w:trPr>
          <w:tblHeader/>
        </w:trPr>
        <w:tc>
          <w:tcPr>
            <w:tcW w:type="dxa" w:w="1008"/>
          </w:tcPr>
          <w:p>
            <w:r/>
            <w:r>
              <w:rPr>
                <w:b/>
                <w:sz w:val="19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Categoría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Requisito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Criterio de aceptación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PNF-01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Rendimiento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Consulta de disponibilidad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Menos de 2 s en el percentil 95 con 500 equipos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PNF-02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Rendimiento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Carga del panel de indicadores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Menos de 3 s con datos de un año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PNF-03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Rendimiento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Concurrencia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10 usuarios simultáneos sin degradar más de 50 % el tiempo de respuesta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PNF-04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Seguridad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Contraseñas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 xml:space="preserve">Almacenadas solo como </w:t>
            </w:r>
            <w:r>
              <w:rPr>
                <w:i/>
                <w:sz w:val="19"/>
              </w:rPr>
              <w:t>hash</w:t>
            </w:r>
            <w:r>
              <w:rPr>
                <w:sz w:val="19"/>
              </w:rPr>
              <w:t xml:space="preserve"> BCrypt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PNF-05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Seguridad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Acceso sin sesión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Toda URL protegida redirige al inicio de sesión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PNF-06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Seguridad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Referencia directa a objetos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Un usuario no obtiene datos de otra empresa cambiando un identificador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PNF-07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Seguridad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Inyección SQL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Entradas maliciosas no alteran resultados ni provocan error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PNF-08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Seguridad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Cookies de sesión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Atributos HttpOnly y Secure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PNF-09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Usabilidad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Registro de un arriendo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Menos de 2 minutos y no más de 5 clics, sin entrenamiento previo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Usabilidad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Mensajes de error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En el lenguaje del negocio, nunca una traza técnica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PNF-11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Compatibilidad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Navegadores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Chrome, Firefox y Edge vigentes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Compatibilidad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Resoluciones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Usable en 1366×768 y en 390 px de ancho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PNF-13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Fiabilidad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Caída de la base de datos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Sin registros parciales al restablecerse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PNF-14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Fiabilidad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Respaldo y restauración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pg</w:t>
            </w:r>
            <w:r>
              <w:rPr>
                <w:i/>
                <w:sz w:val="19"/>
              </w:rPr>
              <w:t>dump y pg</w:t>
            </w:r>
            <w:r>
              <w:rPr>
                <w:sz w:val="19"/>
              </w:rPr>
              <w:t>restore con datos íntegros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PNF-15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Mantenibilidad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Cobertura de pruebas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70 % o más en la capa de servicios (JaCoCo)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PNF-16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Mantenibilidad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Reproducibilidad del entorno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Clonar y levantar en menos de 15 minutos siguiendo solo el README</w:t>
            </w:r>
          </w:p>
        </w:tc>
      </w:tr>
    </w:tbl>
    <w:p>
      <w:pPr/>
    </w:p>
    <w:p>
      <w:pPr>
        <w:pStyle w:val="Ttulo1"/>
      </w:pPr>
      <w:bookmarkStart w:id="9014" w:name="_TocMira9014"/>
      <w:r>
        <w:t>Estrategia de pruebas</w:t>
      </w:r>
      <w:bookmarkEnd w:id="9014"/>
    </w:p>
    <w:p>
      <w:pPr>
        <w:jc w:val="both"/>
      </w:pPr>
      <w:r>
        <w:t xml:space="preserve">Las pruebas no se concentran al final del proyecto: forman parte de la </w:t>
      </w:r>
      <w:r>
        <w:rPr>
          <w:i/>
        </w:rPr>
        <w:t>Definition of Done</w:t>
      </w:r>
      <w:r>
        <w:t xml:space="preserve"> de cada historia, de modo que ninguna se considera terminada sin su prueba automatizada. El catálogo completo está en docs/10-casos-de-prueba.md, con catorce casos funcionales (CF) y dieciséis no funcionales (PNF).</w:t>
      </w:r>
    </w:p>
    <w:p>
      <w:pPr>
        <w:keepNext/>
      </w:pPr>
      <w:r>
        <w:rPr>
          <w:b/>
          <w:sz w:val="19"/>
        </w:rPr>
        <w:t>Tabla 7. Niveles de prueba</w:t>
      </w:r>
    </w:p>
    <w:tbl>
      <w:tblPr>
        <w:tblStyle w:val="Tablaconcuadrcula1clara-nfasis1"/>
        <w:tblLayout w:type="fixed"/>
        <w:tblLook w:firstColumn="1" w:firstRow="1" w:lastColumn="0" w:lastRow="0" w:noHBand="0" w:noVBand="1" w:val="04A0"/>
        <w:tblW w:w="9072" w:type="dxa"/>
        <w:tblLayout w:type="fixed"/>
      </w:tblPr>
      <w:tblGrid>
        <w:gridCol w:w="1872"/>
        <w:gridCol w:w="2592"/>
        <w:gridCol w:w="4608"/>
      </w:tblGrid>
      <w:tr>
        <w:trPr>
          <w:tblHeader/>
        </w:trPr>
        <w:tc>
          <w:tcPr>
            <w:tcW w:type="dxa" w:w="1872"/>
          </w:tcPr>
          <w:p>
            <w:r/>
            <w:r>
              <w:rPr>
                <w:b/>
                <w:sz w:val="19"/>
              </w:rPr>
              <w:t>Nivel</w:t>
            </w:r>
          </w:p>
        </w:tc>
        <w:tc>
          <w:tcPr>
            <w:tcW w:type="dxa" w:w="2592"/>
          </w:tcPr>
          <w:p>
            <w:r/>
            <w:r>
              <w:rPr>
                <w:b/>
                <w:sz w:val="19"/>
              </w:rPr>
              <w:t>Herramienta</w:t>
            </w:r>
          </w:p>
        </w:tc>
        <w:tc>
          <w:tcPr>
            <w:tcW w:type="dxa" w:w="4608"/>
          </w:tcPr>
          <w:p>
            <w:r/>
            <w:r>
              <w:rPr>
                <w:b/>
                <w:sz w:val="19"/>
              </w:rPr>
              <w:t>Qué cubre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Unitarias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JUnit 5 y Mockito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Servicios aislados y reglas de negocio con lógica condicional. Son la mayoría.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Integración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Testcontainers con PostgreSQL 16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Consultas, restricciones únicas y atomicidad de las transacciones contra una base real, no en memoria.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Seguridad y rutas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MockMvc y spring-security-test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Acceso por rol, acceso sin sesión y aislamiento entre empresas.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No funcionales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k6 o JMeter, inspección manual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Rendimiento, usabilidad y compatibilidad, con evidencia en el informe de pruebas.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19"/>
              </w:rPr>
              <w:t>Cobertura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JaCoCo</w:t>
            </w:r>
          </w:p>
        </w:tc>
        <w:tc>
          <w:tcPr>
            <w:tcW w:type="dxa" w:w="4608"/>
          </w:tcPr>
          <w:p>
            <w:r/>
            <w:r>
              <w:rPr>
                <w:sz w:val="19"/>
              </w:rPr>
              <w:t>Informe generado en cada construcción con ./mvnw clean verify.</w:t>
            </w:r>
          </w:p>
        </w:tc>
      </w:tr>
    </w:tbl>
    <w:p>
      <w:pPr/>
    </w:p>
    <w:p>
      <w:pPr>
        <w:jc w:val="both"/>
      </w:pPr>
      <w:r>
        <w:t>Las reglas críticas que deben tener prueba sí o sí son siete: un equipo no disponible no puede arrendarse; un equipo no puede estar en dos operaciones simultáneas; el cambio de estado y su movimiento ocurren juntos o no ocurren; el retorno deja el equipo disponible; el número de serie es único por empresa; un usuario sin el rol no accede a la funcionalidad restringida, y ninguna consulta devuelve datos de otra empresa. Cada ejecución se registra con el caso, la fecha, la versión, el resultado y, si corresponde, el defecto y su corrección, lo que permite mejorar el producto a partir de las pruebas.</w:t>
      </w:r>
    </w:p>
    <w:p>
      <w:pPr>
        <w:pStyle w:val="Ttulo1"/>
      </w:pPr>
      <w:bookmarkStart w:id="9015" w:name="_TocMira9015"/>
      <w:r>
        <w:t>Innovación</w:t>
      </w:r>
      <w:bookmarkEnd w:id="9015"/>
    </w:p>
    <w:p>
      <w:pPr>
        <w:jc w:val="both"/>
      </w:pPr>
      <w:r>
        <w:t>Mira no busca innovar con tecnología exótica, sino en cómo resuelve un problema común de la pequeña y mediana empresa con decisiones de diseño poco habituales en una solución de su tamaño:</w:t>
      </w:r>
    </w:p>
    <w:p>
      <w:pPr>
        <w:pStyle w:val="Prrafodelista"/>
        <w:numPr>
          <w:ilvl w:val="0"/>
          <w:numId w:val="4"/>
        </w:numPr>
        <w:jc w:val="both"/>
      </w:pPr>
      <w:r>
        <w:rPr>
          <w:b/>
        </w:rPr>
        <w:t>Trazabilidad por unidad con historial inmutable.</w:t>
      </w:r>
      <w:r>
        <w:t xml:space="preserve"> El inventario deja de ser una cantidad y pasa a ser un registro de eventos: cada movimiento se inserta y nunca se modifica. El estado actual de un equipo se puede reconstruir desde su historia, como en un libro contable.</w:t>
      </w:r>
    </w:p>
    <w:p>
      <w:pPr>
        <w:pStyle w:val="Prrafodelista"/>
        <w:numPr>
          <w:ilvl w:val="0"/>
          <w:numId w:val="4"/>
        </w:numPr>
        <w:jc w:val="both"/>
      </w:pPr>
      <w:r>
        <w:rPr>
          <w:b/>
        </w:rPr>
        <w:t>Disponibilidad calculada, no almacenada.</w:t>
      </w:r>
      <w:r>
        <w:t xml:space="preserve"> Se elimina por diseño la causa del problema original, que es un dato guardado que deja de coincidir con la realidad.</w:t>
      </w:r>
    </w:p>
    <w:p>
      <w:pPr>
        <w:pStyle w:val="Prrafodelista"/>
        <w:numPr>
          <w:ilvl w:val="0"/>
          <w:numId w:val="4"/>
        </w:numPr>
        <w:jc w:val="both"/>
      </w:pPr>
      <w:r>
        <w:rPr>
          <w:b/>
        </w:rPr>
        <w:t>Preparado para varias empresas desde el inicio.</w:t>
      </w:r>
      <w:r>
        <w:t xml:space="preserve"> La multi-tenencia con filtro explícito, verificado por el compilador (D07), permite ofrecer el sistema como servicio a otras empresas del rubro sin rediseñarlo.</w:t>
      </w:r>
    </w:p>
    <w:p>
      <w:pPr>
        <w:pStyle w:val="Prrafodelista"/>
        <w:numPr>
          <w:ilvl w:val="0"/>
          <w:numId w:val="4"/>
        </w:numPr>
        <w:jc w:val="both"/>
      </w:pPr>
      <w:r>
        <w:rPr>
          <w:b/>
        </w:rPr>
        <w:t>Proceso de desarrollo asistido por inteligencia artificial con reglas escritas.</w:t>
      </w:r>
      <w:r>
        <w:t xml:space="preserve"> El equipo trabaja con asistentes de programación que leen las reglas del proyecto desde el repositorio (CLAUDE.md, convenciones, bitácora de decisiones y zonas de propiedad), de modo que el código generado respeta la arquitectura acordada y cada propuesta se revisa en un </w:t>
      </w:r>
      <w:r>
        <w:rPr>
          <w:i/>
        </w:rPr>
        <w:t>pull request</w:t>
      </w:r>
      <w:r>
        <w:t xml:space="preserve"> antes de integrarse.</w:t>
      </w:r>
    </w:p>
    <w:sectPr w:rsidR="00CC4019" w:rsidRPr="00CC4019" w:rsidSect="00C821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AE78A2" w14:textId="77777777" w:rsidR="002237D3" w:rsidRDefault="002237D3" w:rsidP="00893114">
      <w:pPr>
        <w:spacing w:after="0" w:line="240" w:lineRule="auto"/>
      </w:pPr>
      <w:r>
        <w:separator/>
      </w:r>
    </w:p>
  </w:endnote>
  <w:endnote w:type="continuationSeparator" w:id="0">
    <w:p w14:paraId="5460595B" w14:textId="77777777" w:rsidR="002237D3" w:rsidRDefault="002237D3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</w:t>
        </w:r>
        <w:r w:rsidR="00D3073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8F45D6" w14:textId="77777777" w:rsidR="002237D3" w:rsidRDefault="002237D3" w:rsidP="00893114">
      <w:pPr>
        <w:spacing w:after="0" w:line="240" w:lineRule="auto"/>
      </w:pPr>
      <w:r>
        <w:separator/>
      </w:r>
    </w:p>
  </w:footnote>
  <w:footnote w:type="continuationSeparator" w:id="0">
    <w:p w14:paraId="4BE1197D" w14:textId="77777777" w:rsidR="002237D3" w:rsidRDefault="002237D3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D5423"/>
    <w:rsid w:val="00934F44"/>
    <w:rsid w:val="009B5747"/>
    <w:rsid w:val="009D2A4F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C14CFA"/>
    <w:rsid w:val="00C15C88"/>
    <w:rsid w:val="00C51051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506"/>
    <w:rsid w:val="00D30738"/>
    <w:rsid w:val="00DB571C"/>
    <w:rsid w:val="00DD3542"/>
    <w:rsid w:val="00F4443B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Aptos Display">
    <w:panose1 w:val="020B0004020202020204"/>
    <w:charset w:val="01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2835FC"/>
    <w:rsid w:val="002C06A7"/>
    <w:rsid w:val="004F7F49"/>
    <w:rsid w:val="0057410B"/>
    <w:rsid w:val="00595623"/>
    <w:rsid w:val="005B27DB"/>
    <w:rsid w:val="006E2FCC"/>
    <w:rsid w:val="00704192"/>
    <w:rsid w:val="00825B36"/>
    <w:rsid w:val="00960213"/>
    <w:rsid w:val="00AE6FE7"/>
    <w:rsid w:val="00BD2436"/>
    <w:rsid w:val="00C47BA2"/>
    <w:rsid w:val="00C5036F"/>
    <w:rsid w:val="00C861E5"/>
    <w:rsid w:val="00CF44FB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2026-10-16</PublishDate>
  <Abstract>Documento de Diseño basado en UML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5</Pages>
  <Words>286</Words>
  <Characters>1507</Characters>
  <Application>Microsoft Office Word</Application>
  <DocSecurity>0</DocSecurity>
  <Lines>125</Lines>
  <Paragraphs>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Mira – Sistema de gestión y trazabilidad de equipos de geomensura</dc:subject>
  <dc:creator>Joaquín Romero; Gonzalo Arenas</dc:creator>
  <cp:lastModifiedBy>Joaquín Romero; Gonzalo Arenas</cp:lastModifiedBy>
  <cp:revision>45</cp:revision>
  <dcterms:created xsi:type="dcterms:W3CDTF">2016-01-10T17:41:00Z</dcterms:created>
  <dcterms:modified xsi:type="dcterms:W3CDTF">2026-10-16T12:00:00Z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