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spacing w:after="100" w:line="264" w:lineRule="auto"/>
              <w:jc w:val="both"/>
              <w:rPr>
                <w:rFonts w:ascii="Calibri" w:hAnsi="Calibri" w:cs="Arial"/>
                <w:i/>
                <w:color w:val="548DD4"/>
                <w:sz w:val="20"/>
                <w:szCs w:val="20"/>
                <w:lang w:eastAsia="es-CL"/>
              </w:rPr>
            </w:pPr>
            <w:r>
              <w:rPr>
                <w:rFonts w:ascii="Calibri" w:hAnsi="Calibri"/>
                <w:b w:val="0"/>
                <w:sz w:val="21"/>
              </w:rPr>
              <w:t>Durante la Fase 1 el equipo completó la definición del proyecto: el planteamiento del problema, los objetivos, el alcance delimitado en nueve épicas dimensionadas en cien puntos de función, el modelo de datos con su diccionario de catorce tablas y el catálogo de casos de prueba funcionales y no funcionales. Todo quedó documentado en el repositorio público del proyecto.</w:t>
            </w:r>
          </w:p>
          <w:p>
            <w:pPr>
              <w:spacing w:after="100" w:line="264" w:lineRule="auto"/>
            </w:pPr>
            <w:r>
              <w:rPr>
                <w:rFonts w:ascii="Calibri" w:hAnsi="Calibri"/>
                <w:b w:val="0"/>
                <w:sz w:val="21"/>
              </w:rPr>
              <w:t>En la Fase 2 se configuró el proyecto base y el entorno de desarrollo: Maven con Spring Boot 4.1.1 sobre Java 21, PostgreSQL 16 en contenedor, Flyway para las migraciones, Spring Security, Thymeleaf y las dependencias de pruebas con informe de cobertura. La aplicación compila, levanta, se conecta a la base de datos y responde en el navegador.</w:t>
            </w:r>
          </w:p>
          <w:p>
            <w:pPr>
              <w:spacing w:after="100" w:line="264" w:lineRule="auto"/>
            </w:pPr>
            <w:r>
              <w:rPr>
                <w:rFonts w:ascii="Calibri" w:hAnsi="Calibri"/>
                <w:b w:val="0"/>
                <w:sz w:val="21"/>
              </w:rPr>
              <w:t>De los objetivos específicos se cumplieron el levantamiento de requerimientos, el diseño del modelo de datos que representa cada equipo como unidad individual identificada por su número de serie, y el diseño de las pruebas de validación. Queda pendiente la implementación del modelo y la construcción del inventario multibodega, que es donde el proyecto acumula atraso respecto de la carta Gantt.</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100" w:line="264" w:lineRule="auto"/>
              <w:jc w:val="both"/>
              <w:rPr>
                <w:rFonts w:ascii="Calibri" w:hAnsi="Calibri" w:cs="Arial"/>
                <w:b/>
                <w:i/>
                <w:color w:val="548DD4"/>
                <w:sz w:val="20"/>
                <w:szCs w:val="20"/>
                <w:lang w:eastAsia="es-CL"/>
              </w:rPr>
            </w:pPr>
            <w:r>
              <w:rPr>
                <w:rFonts w:ascii="Calibri" w:hAnsi="Calibri"/>
                <w:b w:val="0"/>
                <w:sz w:val="21"/>
              </w:rPr>
              <w:t>Sin ajustes. El objetivo general y los siete objetivos específicos definidos en la Fase 1 se mantienen sin modificaciones.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100" w:line="264" w:lineRule="auto"/>
              <w:jc w:val="both"/>
              <w:rPr>
                <w:rFonts w:ascii="Calibri" w:hAnsi="Calibri" w:cs="Arial"/>
                <w:i/>
                <w:color w:val="548DD4"/>
                <w:sz w:val="20"/>
                <w:szCs w:val="20"/>
                <w:lang w:eastAsia="es-CL"/>
              </w:rPr>
            </w:pPr>
            <w:r>
              <w:rPr>
                <w:rFonts w:ascii="Calibri" w:hAnsi="Calibri"/>
                <w:b w:val="0"/>
                <w:sz w:val="21"/>
              </w:rPr>
              <w:t>La metodología se mantiene como un marco ágil basado en Scrum, adaptado al calendario de la asignatura, con dos ajustes.</w:t>
            </w:r>
          </w:p>
          <w:p>
            <w:pPr>
              <w:spacing w:after="100" w:line="264" w:lineRule="auto"/>
            </w:pPr>
            <w:r>
              <w:rPr>
                <w:rFonts w:ascii="Calibri" w:hAnsi="Calibri"/>
                <w:b w:val="0"/>
                <w:sz w:val="21"/>
              </w:rPr>
              <w:t>El primero es la eliminación de las instancias de validación con la contraparte, previstas para las semanas 6 y 11. La empresa no continuó la colaboración y, autorizado por el docente, el proyecto sigue sin cliente real. Los supuestos del modelo de datos que iban a validarse con la organización pasan a ser decisiones de diseño declaradas y justificadas por el equipo, documentadas en el repositorio.</w:t>
            </w:r>
          </w:p>
          <w:p>
            <w:pPr>
              <w:spacing w:after="100" w:line="264" w:lineRule="auto"/>
            </w:pPr>
            <w:r>
              <w:rPr>
                <w:rFonts w:ascii="Calibri" w:hAnsi="Calibri"/>
                <w:b w:val="0"/>
                <w:sz w:val="21"/>
              </w:rPr>
              <w:t>El segundo es la formalización de las iteraciones. Lo que estaba planteado como iteraciones quincenales se concretó en sprints de dos semanas con tres elementos obligatorios: un objetivo de sprint enunciado en una sola frase, historias de usuario con criterios de aceptación verificables, y una definición de terminado escrita que exige prueba automatizada, revisión cruzada por pull request y captura de pantalla como evidencia.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100" w:line="264" w:lineRule="auto"/>
              <w:jc w:val="both"/>
              <w:rPr>
                <w:rFonts w:ascii="Calibri" w:hAnsi="Calibri" w:cs="Arial"/>
                <w:i/>
                <w:color w:val="548DD4"/>
                <w:sz w:val="20"/>
                <w:szCs w:val="20"/>
                <w:lang w:eastAsia="es-CL"/>
              </w:rPr>
            </w:pPr>
            <w:r>
              <w:rPr>
                <w:rFonts w:ascii="Calibri" w:hAnsi="Calibri"/>
                <w:b w:val="0"/>
                <w:sz w:val="21"/>
              </w:rPr>
              <w:t>Se presentan tres evidencias. Las dos primeras están en el repositorio público del proyecto, github.com/gonzaloarenasduoc/Mira; la tercera es la grabación de la demostración del sistema, entregada al docente.</w:t>
            </w:r>
          </w:p>
          <w:p>
            <w:pPr>
              <w:spacing w:after="100" w:line="264" w:lineRule="auto"/>
            </w:pPr>
            <w:r>
              <w:rPr>
                <w:rFonts w:ascii="Calibri" w:hAnsi="Calibri"/>
                <w:b w:val="0"/>
                <w:sz w:val="21"/>
              </w:rPr>
              <w:t>La primera es el repositorio mismo, con su historial de commits, sus ramas por funcionalidad y la integración mediante pull request con revisión cruzada. Permite verificar qué se construyó, cuándo y quién lo hizo, que es la trazabilidad que exige el trabajo con una metodología ágil.</w:t>
            </w:r>
          </w:p>
          <w:p>
            <w:pPr>
              <w:spacing w:after="100" w:line="264" w:lineRule="auto"/>
            </w:pPr>
            <w:r>
              <w:rPr>
                <w:rFonts w:ascii="Calibri" w:hAnsi="Calibri"/>
                <w:b w:val="0"/>
                <w:sz w:val="21"/>
              </w:rPr>
              <w:t>La segunda es la documentación técnica de la carpeta docs: el modelo de datos con su diccionario, la arquitectura en capas, las convenciones de código, el registro de decisiones y el catálogo de casos de prueba. Da cuenta de que las decisiones de diseño se tomaron y fundamentaron antes de escribir código, y no se justificaron después.</w:t>
            </w:r>
          </w:p>
          <w:p>
            <w:pPr>
              <w:spacing w:after="100" w:line="264" w:lineRule="auto"/>
            </w:pPr>
            <w:r>
              <w:rPr>
                <w:rFonts w:ascii="Calibri" w:hAnsi="Calibri"/>
                <w:b w:val="0"/>
                <w:sz w:val="21"/>
              </w:rPr>
              <w:t>La tercera es la grabación de la aplicación levantando: el contenedor de la base de datos, la ejecución de las pruebas, el arranque de Spring Boot y la respuesta en el navegador. Demuestra que lo documentado existe y funciona.</w:t>
            </w:r>
          </w:p>
          <w:p>
            <w:pPr>
              <w:spacing w:after="100" w:line="264" w:lineRule="auto"/>
            </w:pPr>
            <w:r>
              <w:rPr>
                <w:rFonts w:ascii="Calibri" w:hAnsi="Calibri"/>
                <w:b w:val="0"/>
                <w:sz w:val="21"/>
              </w:rPr>
              <w:t>Sobre el resguardo de la calidad: el proyecto aplica control de versiones con ramas por funcionalidad y revisión cruzada obligatoria; migraciones versionadas e inmutables, de modo que el esquema de la base evolucione sin dejar inconsistente el entorno del otro integrante; pruebas automatizadas con JUnit, Mockito y Testcontainers, con informe de cobertura; y contenedores, para que el entorno sea reproducible en cualquier equipo. Además, antes de implementar se sometió la documentación a una revisión sistemática que detectó seis contradicciones internas, lo que evitó arrastrarlas al código.</w:t>
            </w:r>
          </w:p>
          <w:p>
            <w:pPr>
              <w:spacing w:after="100" w:line="264" w:lineRule="auto"/>
            </w:pPr>
            <w:r>
              <w:rPr>
                <w:rFonts w:ascii="Calibri" w:hAnsi="Calibri"/>
                <w:b w:val="0"/>
                <w:sz w:val="21"/>
              </w:rPr>
              <w:t>Evidencias adjuntas:</w:t>
            </w:r>
          </w:p>
          <w:p>
            <w:pPr>
              <w:spacing w:after="100" w:line="264" w:lineRule="auto"/>
            </w:pPr>
            <w:r>
              <w:rPr>
                <w:rFonts w:ascii="Calibri" w:hAnsi="Calibri"/>
                <w:b w:val="0"/>
                <w:sz w:val="21"/>
              </w:rPr>
              <w:t>1. Repositorio del proyecto: github.com/gonzaloarenasduoc/Mira</w:t>
            </w:r>
          </w:p>
          <w:p>
            <w:pPr>
              <w:spacing w:after="100" w:line="264" w:lineRule="auto"/>
            </w:pPr>
            <w:r>
              <w:rPr>
                <w:rFonts w:ascii="Calibri" w:hAnsi="Calibri"/>
                <w:b w:val="0"/>
                <w:sz w:val="21"/>
              </w:rPr>
              <w:t>2. Documentación técnica: carpeta docs del repositorio (modelo de datos, arquitectura, convenciones, registro de decisiones y casos de prueba).</w:t>
            </w:r>
          </w:p>
          <w:p>
            <w:pPr>
              <w:spacing w:after="100" w:line="264" w:lineRule="auto"/>
            </w:pPr>
            <w:r>
              <w:rPr>
                <w:rFonts w:ascii="Calibri" w:hAnsi="Calibri"/>
                <w:b w:val="0"/>
                <w:sz w:val="21"/>
              </w:rPr>
              <w:t>3. Grabación de la demostración del sistema levantando, entregada al docente.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00"/>
        <w:gridCol w:w="1100"/>
        <w:gridCol w:w="1050"/>
        <w:gridCol w:w="850"/>
        <w:gridCol w:w="950"/>
        <w:gridCol w:w="1900"/>
        <w:gridCol w:w="900"/>
        <w:gridCol w:w="200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000" w:type="dxa"/>
            <w:vAlign w:val="center"/>
          </w:tcPr>
          <w:p w14:paraId="29F5C735" w14:textId="77777777" w:rsidR="00FD5149" w:rsidRPr="006E3B0D" w:rsidRDefault="00FD5149" w:rsidP="00FD5149">
            <w:pPr>
              <w:jc w:val="left"/>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100" w:type="dxa"/>
            <w:vAlign w:val="center"/>
          </w:tcPr>
          <w:p w14:paraId="54E7FFFD"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050" w:type="dxa"/>
            <w:vAlign w:val="center"/>
          </w:tcPr>
          <w:p w14:paraId="63546E8A"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50" w:type="dxa"/>
            <w:vAlign w:val="center"/>
          </w:tcPr>
          <w:p w14:paraId="392197F9"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950" w:type="dxa"/>
            <w:vAlign w:val="center"/>
          </w:tcPr>
          <w:p w14:paraId="58CFFE40"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900" w:type="dxa"/>
            <w:vAlign w:val="center"/>
          </w:tcPr>
          <w:p w14:paraId="3E59D270"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00" w:type="dxa"/>
            <w:vAlign w:val="center"/>
          </w:tcPr>
          <w:p w14:paraId="16EAEFD4" w14:textId="77777777" w:rsidR="00FD5149" w:rsidRPr="006E3B0D" w:rsidRDefault="00FD5149" w:rsidP="00FD5149">
            <w:pPr>
              <w:jc w:val="left"/>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2000" w:type="dxa"/>
            <w:vAlign w:val="center"/>
          </w:tcPr>
          <w:p w14:paraId="4DFF4306" w14:textId="77777777" w:rsidR="00FD5149" w:rsidRPr="006E3B0D" w:rsidRDefault="00FD5149" w:rsidP="00FD5149">
            <w:pPr>
              <w:jc w:val="left"/>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Gestionar proyectos informáticos</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Levantamiento de requerimientos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Pauta de entrevista, documentación de la empresa, horas de reunión.</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1 a 3</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Ambos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acceso directo a la contraparte. Obstaculizador: disponibilidad acotada de la empresa.</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Ajustada</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La reunión con la empresa se realizó pero no prosperó y no entregó documentación operativa. Las dos instancias posteriores no se concretaron. El levantamiento se cerró con la información disponible y los vacíos se resolvieron como supuestos de diseño declarados.</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Gestionar proyectos informáticos</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Definición del alcance y validación</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Documento de alcance, tablero de trabajo.</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3 y 4</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Joaquín Romero</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alcance acordado por escrito. Obstaculizador: expectativas superiores al plazo disponible.</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Completado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La validación del alcance con la empresa no se concretó. El alcance quedó validado con el docente, quien autorizó continuar con la propuesta original.</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Construir modelos de datos</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Diseño del modelo de datos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Herramienta de modelado, documentación del levantamiento.</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4 y 5</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Joaquín Romero</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dominio acotado y bien delimitado. Obstaculizador: información incompleta sobre casos particulares de la operación.</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Completado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Catorce tablas con diccionario, enumerados y reglas de integridad. Los casos que no pudieron confirmarse con la contraparte quedaron escritos como supuestos de diseño, con su justificación.</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Desarrollar una solución de software</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Configuración del entorno y del repositorio</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Repositorio público, entorno de desarrollo, contenedores.</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 5</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Joaquín Romero (originalmente Gonzalo Arenas)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herramientas gratuitas y documentación abundante. Obstaculizador: diferencias de configuración entre los equipos.</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Completado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Cambio de responsable: la ejecutó Joaquín Romero, porque el esqueleto del proyecto toca archivos de zona compartida y debía generarse una sola vez para evitar una integración inmanejable. Integrada mediante el pull request #1.</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Construir modelos de datos</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Implementación del modelo de datos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Motor de base de datos, herramienta de migraciones.</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5 y 6</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Joaquín Romero</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modelo previamente diseñado y documentado. Obstaculizador: el motor de contenedores no operaba en uno de los equipos, lo que impedía aplicar y verificar las migraciones.</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Con retraso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Replanificada para la semana 7, como primera tarea del Sprint 1. El bloqueo del entorno ya está resuelto. Se incorpora la regla de no integrar una migración a la rama principal hasta haberla ejecutado y verificado al menos una vez.</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Desarrollar una solución de software</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Desarrollo del núcleo del sistema</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Entorno de desarrollo, repositorio.</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6 a 10</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Ambos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épicas definidas y priorizadas. Obstaculizador: mayor volumen de código que otras alternativas evaluadas.</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Con retraso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Reorganizada en sprints de dos semanas. El Sprint 1 cubre las épicas E001, acceso y roles, y E002, inventario por número de serie, con siete historias de usuario y sus criterios de aceptación.</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Desarrollar una solución de software</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Desarrollo de los módulos de operaciones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Entorno de desarrollo, documentos de ejemplo.</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10 a 14</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Ambos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reutilización de los componentes del núcleo. Obstaculizador: reglas de negocio con casos de excepción no previstos.</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No iniciado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Los casos de excepción que se iban a resolver en la validación de la semana 11 se resuelven ahora contra los supuestos declarados en el modelo de datos.</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Desarrollar una solución de software</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Integración de componentes y panel de indicadores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Entorno de desarrollo, biblioteca de gráficos.</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13 a 15</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Gonzalo Arenas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datos ya disponibles en el modelo. Obstaculizador: acumulación de trabajo hacia el final del periodo.</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No iniciado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Sin ajustes.</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Realizar pruebas de certificación</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Diseño y aplicación de pruebas</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Marco de pruebas, base de datos de prueba.</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Diseño en semanas 4 y 5; aplicación en semanas 6 a 16</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Ambos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pruebas automatizadas ejecutadas ante cada integración. Obstaculizador: tiempo disponible al coincidir con el cierre del desarrollo.</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En curso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El diseño de los casos se adelantó a la Fase 1 y está terminado. La aplicación deja de concentrarse al final: se incorpora a la definición de terminado de cada historia, de modo que ninguna se considera completa sin su prueba.</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Desarrollar una solución de software</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Implantación en ambiente de demostración</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Máquina virtual de capa gratuita, contenedores.</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 16</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Joaquín Romero</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infraestructura sin costo. Obstaculizador: diferencias entre el entorno local y el de despliegue.</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No iniciado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Sin ajustes.</w:t>
            </w:r>
          </w:p>
        </w:tc>
      </w:tr>
      <w:tr w:rsidR="00FD5149" w:rsidRPr="006E3B0D" w14:paraId="0D4FAAA2" w14:textId="77777777" w:rsidTr="00EA0C09">
        <w:trPr>
          <w:trHeight w:val="2410"/>
        </w:trPr>
        <w:tc>
          <w:tcPr>
            <w:tcW w:w="1000" w:type="dxa"/>
          </w:tcPr>
          <w:p w14:paraId="29F01B29" w14:textId="77777777" w:rsidR="00FD5149" w:rsidRPr="006E3B0D" w:rsidRDefault="00FD5149" w:rsidP="00FD5149">
            <w:pPr>
              <w:spacing w:after="100" w:line="264" w:lineRule="auto"/>
              <w:jc w:val="left"/>
              <w:rPr>
                <w:b/>
                <w:sz w:val="18"/>
                <w:szCs w:val="24"/>
              </w:rPr>
            </w:pPr>
            <w:r>
              <w:rPr>
                <w:rFonts w:ascii="Calibri" w:hAnsi="Calibri"/>
                <w:b w:val="0"/>
                <w:sz w:val="17"/>
              </w:rPr>
              <w:t>Gestionar proyectos informáticos</w:t>
            </w:r>
          </w:p>
        </w:tc>
        <w:tc>
          <w:tcPr>
            <w:tcW w:w="1100" w:type="dxa"/>
          </w:tcPr>
          <w:p w14:paraId="7B4EBE25"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Documentación, informe final y presentación</w:t>
            </w:r>
          </w:p>
        </w:tc>
        <w:tc>
          <w:tcPr>
            <w:tcW w:w="1050" w:type="dxa"/>
          </w:tcPr>
          <w:p w14:paraId="16E191DF" w14:textId="77777777" w:rsidR="00FD5149" w:rsidRPr="006E3B0D" w:rsidRDefault="00FD5149" w:rsidP="00FD5149">
            <w:pPr>
              <w:spacing w:after="100" w:line="264" w:lineRule="auto"/>
              <w:jc w:val="left"/>
              <w:rPr>
                <w:b/>
                <w:sz w:val="18"/>
                <w:szCs w:val="24"/>
              </w:rPr>
            </w:pPr>
            <w:r>
              <w:rPr>
                <w:rFonts w:ascii="Calibri" w:hAnsi="Calibri"/>
                <w:b w:val="0"/>
                <w:sz w:val="17"/>
              </w:rPr>
              <w:t>Documentación del proyecto, evidencias recopiladas.</w:t>
            </w:r>
          </w:p>
        </w:tc>
        <w:tc>
          <w:tcPr>
            <w:tcW w:w="850" w:type="dxa"/>
          </w:tcPr>
          <w:p w14:paraId="66A5D860" w14:textId="77777777" w:rsidR="00FD5149" w:rsidRPr="006E3B0D" w:rsidRDefault="00FD5149" w:rsidP="00FD5149">
            <w:pPr>
              <w:spacing w:after="100" w:line="264" w:lineRule="auto"/>
              <w:jc w:val="left"/>
              <w:rPr>
                <w:b/>
                <w:sz w:val="18"/>
                <w:szCs w:val="24"/>
              </w:rPr>
            </w:pPr>
            <w:r>
              <w:rPr>
                <w:rFonts w:ascii="Calibri" w:hAnsi="Calibri"/>
                <w:b w:val="0"/>
                <w:sz w:val="17"/>
              </w:rPr>
              <w:t>Semanas 16 a 18</w:t>
            </w:r>
          </w:p>
        </w:tc>
        <w:tc>
          <w:tcPr>
            <w:tcW w:w="950" w:type="dxa"/>
          </w:tcPr>
          <w:p w14:paraId="036AB5D8"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Ambos</w:t>
            </w:r>
          </w:p>
        </w:tc>
        <w:tc>
          <w:tcPr>
            <w:tcW w:w="1900" w:type="dxa"/>
          </w:tcPr>
          <w:p w14:paraId="2FCEC037"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Facilitador: documentación elaborada de manera progresiva durante el desarrollo. Obstaculizador: coincidencia con el cierre de otras asignaturas.</w:t>
            </w:r>
          </w:p>
        </w:tc>
        <w:tc>
          <w:tcPr>
            <w:tcW w:w="900" w:type="dxa"/>
          </w:tcPr>
          <w:p w14:paraId="29B0BFEB" w14:textId="77777777" w:rsidR="00FD5149" w:rsidRPr="00E54467" w:rsidRDefault="00FD5149" w:rsidP="00FD5149">
            <w:pPr>
              <w:spacing w:after="100" w:line="264" w:lineRule="auto"/>
              <w:jc w:val="left"/>
              <w:rPr>
                <w:rFonts w:ascii="Calibri" w:hAnsi="Calibri" w:cs="Arial"/>
                <w:i/>
                <w:color w:val="548DD4"/>
                <w:sz w:val="18"/>
                <w:szCs w:val="20"/>
                <w:lang w:eastAsia="es-CL"/>
              </w:rPr>
            </w:pPr>
            <w:r>
              <w:rPr>
                <w:rFonts w:ascii="Calibri" w:hAnsi="Calibri"/>
                <w:b/>
                <w:sz w:val="17"/>
              </w:rPr>
              <w:t>En curso</w:t>
            </w:r>
          </w:p>
        </w:tc>
        <w:tc>
          <w:tcPr>
            <w:tcW w:w="2000" w:type="dxa"/>
          </w:tcPr>
          <w:p w14:paraId="7C6D6F31" w14:textId="77777777" w:rsidR="00FD5149" w:rsidRPr="006E3B0D" w:rsidRDefault="00FD5149" w:rsidP="00FD5149">
            <w:pPr>
              <w:spacing w:after="100" w:line="264" w:lineRule="auto"/>
              <w:jc w:val="left"/>
              <w:rPr>
                <w:rFonts w:ascii="Calibri" w:hAnsi="Calibri" w:cs="Arial"/>
                <w:i/>
                <w:color w:val="548DD4"/>
                <w:sz w:val="18"/>
                <w:szCs w:val="20"/>
                <w:lang w:eastAsia="es-CL"/>
              </w:rPr>
            </w:pPr>
            <w:r>
              <w:rPr>
                <w:rFonts w:ascii="Calibri" w:hAnsi="Calibri"/>
                <w:b w:val="0"/>
                <w:sz w:val="17"/>
              </w:rPr>
              <w:t>Se incorporan los entregables del marco metodológico ágil exigido: Product Vision, Product Backlog priorizado, Definition of Done, Sprint Backlog por iteración y evidencia de retrospectivas.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pPr>
              <w:spacing w:before="160" w:after="0" w:line="276" w:lineRule="auto"/>
            </w:pPr>
            <w:r>
              <w:rPr>
                <w:rFonts w:ascii="Calibri" w:hAnsi="Calibri"/>
                <w:sz w:val="21"/>
              </w:rPr>
              <w:t>Facilitadores. El principal fue haber escrito la documentación técnica antes de programar: el modelo de datos, la arquitectura, las convenciones de código y el registro de decisiones están en el repositorio, de modo que al retomar el trabajo tras varias semanas no hubo que volver a decidir nada. A eso se suman las zonas de propiedad del código definidas por escrito, que permiten trabajar en paralelo sin pisarse; un stack sin costo de licencias; y el uso de contenedores, que elimina las diferencias de configuración entre los equipos de los integrantes.</w:t>
            </w:r>
          </w:p>
          <w:p>
            <w:pPr>
              <w:spacing w:before="160" w:after="0" w:line="276" w:lineRule="auto"/>
            </w:pPr>
            <w:r>
              <w:rPr>
                <w:rFonts w:ascii="Calibri" w:hAnsi="Calibri"/>
                <w:sz w:val="21"/>
              </w:rPr>
              <w:t>Dificultad 1: pérdida de la contraparte. La reunión de levantamiento no prosperó y las dos instancias de validación posteriores no se concretaron. Acción tomada: se consultó al docente en lugar de seguir esperando, y se autorizó continuar con la propuesta original sin cliente real. Los supuestos del modelo pasan a ser decisiones de diseño declaradas, y se reescriben las secciones del informe que afirmaban validación con la empresa.</w:t>
            </w:r>
          </w:p>
          <w:p>
            <w:pPr>
              <w:spacing w:before="160" w:after="0" w:line="276" w:lineRule="auto"/>
            </w:pPr>
            <w:r>
              <w:rPr>
                <w:rFonts w:ascii="Calibri" w:hAnsi="Calibri"/>
                <w:sz w:val="21"/>
              </w:rPr>
              <w:t>Dificultad 2: bloqueo del entorno de desarrollo. El motor de contenedores no operaba en el equipo de uno de los integrantes, lo que impedía levantar la base de datos y, por lo tanto, aplicar y verificar las migraciones. Acción tomada: el bloqueo ya está resuelto y la aplicación levanta correctamente. Además se incorporó una regla de trabajo: ninguna migración se integra a la rama principal hasta haber sido ejecutada al menos una vez.</w:t>
            </w:r>
          </w:p>
          <w:p>
            <w:pPr>
              <w:spacing w:before="160" w:after="0" w:line="276" w:lineRule="auto"/>
            </w:pPr>
            <w:r>
              <w:rPr>
                <w:rFonts w:ascii="Calibri" w:hAnsi="Calibri"/>
                <w:sz w:val="21"/>
              </w:rPr>
              <w:t>Dificultad 3: pérdida temporal del acceso a la cuenta del repositorio por parte de un integrante. Acción tomada: se trabajó en local y se definió un mecanismo de traspaso que conserva la autoría de los commits, de modo que el historial siguiera reflejando quién escribió cada cosa. El acceso ya está recuperado.</w:t>
            </w:r>
          </w:p>
          <w:p>
            <w:pPr>
              <w:spacing w:before="160" w:after="0" w:line="276" w:lineRule="auto"/>
            </w:pPr>
            <w:r>
              <w:rPr>
                <w:rFonts w:ascii="Calibri" w:hAnsi="Calibri"/>
                <w:sz w:val="21"/>
              </w:rPr>
              <w:t>Dificultad 4, y la más relevante: la planificación tenía rangos de semanas pero no hitos intermedios verificables, lo que permitió que el desarrollo se detuviera varias semanas sin que ninguna alarma se activara. Acción tomada: sprints de dos semanas con demostración obligatoria al cierre y una definición de terminado escrita, de modo que el avance se mida contra algo que funciona y no contra una sensación de progreso.</w:t>
            </w:r>
          </w:p>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before="160" w:after="0" w:line="276" w:lineRule="auto"/>
            </w:pPr>
            <w:r>
              <w:rPr>
                <w:rFonts w:ascii="Calibri" w:hAnsi="Calibri"/>
                <w:sz w:val="21"/>
              </w:rPr>
              <w:t>Actividades eliminadas. Las dos instancias de validación con la empresa, previstas para las semanas 6 y 11, se eliminan del plan porque la contraparte no continuó la colaboración. Se reemplazan por la validación con el docente y por la verificación de los criterios de aceptación de cada historia mediante pruebas funcionales automatizadas.</w:t>
            </w:r>
          </w:p>
          <w:p>
            <w:pPr>
              <w:spacing w:before="160" w:after="0" w:line="276" w:lineRule="auto"/>
            </w:pPr>
            <w:r>
              <w:rPr>
                <w:rFonts w:ascii="Calibri" w:hAnsi="Calibri"/>
                <w:sz w:val="21"/>
              </w:rPr>
              <w:t>Actividades ajustadas. El levantamiento de requerimientos se cerró con alcance reducido, resolviendo como supuestos declarados los vacíos que no fue posible confirmar. La configuración del entorno cambió de responsable, de Gonzalo Arenas a Joaquín Romero, porque el esqueleto del proyecto toca archivos de zona compartida y debía generarse una sola vez. El diseño de los casos de prueba se adelantó de las semanas 13 a 16 hacia las semanas 4 y 5, y su aplicación se distribuyó: ahora cada historia incluye su prueba dentro de la definición de terminado, en lugar de concentrarse al final del desarrollo.</w:t>
            </w:r>
          </w:p>
          <w:p>
            <w:pPr>
              <w:spacing w:before="160" w:after="0" w:line="276" w:lineRule="auto"/>
            </w:pPr>
            <w:r>
              <w:rPr>
                <w:rFonts w:ascii="Calibri" w:hAnsi="Calibri"/>
                <w:sz w:val="21"/>
              </w:rPr>
              <w:t>Actividades incorporadas. Se agregan los entregables que exige el marco metodológico ágil y que no estaban en el plan original: Product Vision, Product Backlog priorizado, Definition of Done, Sprint Backlog por iteración y evidencia de retrospectivas. Se agrega también la actualización del informe de definición del proyecto para eliminar las afirmaciones de validación con la empresa.</w:t>
            </w:r>
          </w:p>
          <w:p>
            <w:pPr>
              <w:spacing w:before="160" w:after="0" w:line="276" w:lineRule="auto"/>
            </w:pPr>
            <w:r>
              <w:rPr>
                <w:rFonts w:ascii="Calibri" w:hAnsi="Calibri"/>
                <w:sz w:val="21"/>
              </w:rPr>
              <w:t>Ninguna épica del alcance comprometido fue eliminada. Las nueve épicas definidas en la Fase 1 se mantienen.</w:t>
            </w:r>
          </w:p>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pPr>
              <w:spacing w:before="160" w:after="0" w:line="276" w:lineRule="auto"/>
            </w:pPr>
            <w:r>
              <w:rPr>
                <w:rFonts w:ascii="Calibri" w:hAnsi="Calibri"/>
                <w:sz w:val="21"/>
              </w:rPr>
              <w:t>Implementación del modelo de datos, comprometida para las semanas 5 y 6: no iniciada. Los motivos fueron el bloqueo del entorno de desarrollo, que impedía aplicar y verificar las migraciones, y la espera de una definición sobre la continuidad del proyecto mientras la contraparte no respondía. Estrategia: es la primera tarea del Sprint 1 y se ejecuta en la semana 7. El bloqueo técnico ya está resuelto.</w:t>
            </w:r>
          </w:p>
          <w:p>
            <w:pPr>
              <w:spacing w:before="160" w:after="0" w:line="276" w:lineRule="auto"/>
            </w:pPr>
            <w:r>
              <w:rPr>
                <w:rFonts w:ascii="Calibri" w:hAnsi="Calibri"/>
                <w:sz w:val="21"/>
              </w:rPr>
              <w:t>Desarrollo del núcleo del sistema, comprometido para las semanas 6 a 10: con retraso. Estrategia: se dividió en sprints de dos semanas con entregas demostrables. El Sprint 1 cubre las épicas de acceso y roles e inventario por número de serie, que son las que habilitan todo lo demás.</w:t>
            </w:r>
          </w:p>
          <w:p>
            <w:pPr>
              <w:spacing w:before="160" w:after="0" w:line="276" w:lineRule="auto"/>
            </w:pPr>
            <w:r>
              <w:rPr>
                <w:rFonts w:ascii="Calibri" w:hAnsi="Calibri"/>
                <w:sz w:val="21"/>
              </w:rPr>
              <w:t>Las actividades de módulos de operaciones, integración con panel de indicadores e implantación en ambiente de demostración figuran como no iniciadas, pero están dentro de su plazo según la carta Gantt y no constituyen retraso.</w:t>
            </w:r>
          </w:p>
          <w:p>
            <w:pPr>
              <w:spacing w:before="160" w:after="0" w:line="276" w:lineRule="auto"/>
            </w:pPr>
            <w:r>
              <w:rPr>
                <w:rFonts w:ascii="Calibri" w:hAnsi="Calibri"/>
                <w:sz w:val="21"/>
              </w:rPr>
              <w:t>Evaluación del riesgo. El atraso acumulado es de aproximadamente dos semanas sobre una ventana de desarrollo de diez. La medida principal es la cadencia de sprints, que obliga a mostrar algo funcionando cada dos semanas. Si al cierre del Sprint 2 el atraso persiste, se priorizarán las épicas E001 a E006, que constituyen el núcleo del sistema, y las tres restantes se documentarán como trabajo futuro. Esa decisión se consultará con el docente antes de tomarla.</w:t>
            </w:r>
          </w:p>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