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7777777" w:rsidR="00050706" w:rsidRPr="00B4008E" w:rsidRDefault="00050706" w:rsidP="00E42375"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>Mira – Sistema de gestión y trazabilidad de equipos de geomensura.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3BA552F" w:rsidR="00050706" w:rsidRPr="00B4008E" w:rsidRDefault="00050706" w:rsidP="00050706"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Desarrollo de </w:t>
            </w:r>
            <w:r>
              <w:rPr>
                <w:i/>
                <w:color w:val="000000"/>
                <w:sz w:val="20"/>
              </w:rPr>
              <w:t>software</w:t>
            </w:r>
            <w:r>
              <w:rPr>
                <w:i w:val="0"/>
                <w:color w:val="000000"/>
                <w:sz w:val="20"/>
              </w:rPr>
              <w:t xml:space="preserve"> (</w:t>
            </w:r>
            <w:r>
              <w:rPr>
                <w:i/>
                <w:color w:val="000000"/>
                <w:sz w:val="20"/>
              </w:rPr>
              <w:t>Back End</w:t>
            </w:r>
            <w:r>
              <w:rPr>
                <w:i w:val="0"/>
                <w:color w:val="000000"/>
                <w:sz w:val="20"/>
              </w:rPr>
              <w:t xml:space="preserve">, </w:t>
            </w:r>
            <w:r>
              <w:rPr>
                <w:i/>
                <w:color w:val="000000"/>
                <w:sz w:val="20"/>
              </w:rPr>
              <w:t>Front End</w:t>
            </w:r>
            <w:r>
              <w:rPr>
                <w:i w:val="0"/>
                <w:color w:val="000000"/>
                <w:sz w:val="20"/>
              </w:rPr>
              <w:t xml:space="preserve"> y </w:t>
            </w:r>
            <w:r>
              <w:rPr>
                <w:i/>
                <w:color w:val="000000"/>
                <w:sz w:val="20"/>
              </w:rPr>
              <w:t>Full Stack</w:t>
            </w:r>
            <w:r>
              <w:rPr>
                <w:i w:val="0"/>
                <w:color w:val="000000"/>
                <w:sz w:val="20"/>
              </w:rPr>
              <w:t xml:space="preserve">), bases de datos, ingeniería de requisitos, calidad de </w:t>
            </w:r>
            <w:r>
              <w:rPr>
                <w:i/>
                <w:color w:val="000000"/>
                <w:sz w:val="20"/>
              </w:rPr>
              <w:t>software</w:t>
            </w:r>
            <w:r>
              <w:rPr>
                <w:i w:val="0"/>
                <w:color w:val="000000"/>
                <w:sz w:val="20"/>
              </w:rPr>
              <w:t xml:space="preserve"> y gestión de proyectos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433C129D" w:rsidR="00050706" w:rsidRPr="00B4008E" w:rsidRDefault="00050706" w:rsidP="00050706"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Gestionar proyectos informáticos, ofreciendo alternativas para la toma de decisiones de acuerdo a los requerimientos de la organización.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Construir modelos de datos para soportar los requerimientos de la organización de acuerdo a un diseño definido y escalable en el tiempo.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 xml:space="preserve">Desarrollar una solución de </w:t>
            </w:r>
            <w:r>
              <w:rPr>
                <w:i/>
                <w:color w:val="000000"/>
                <w:sz w:val="20"/>
              </w:rPr>
              <w:t>software</w:t>
            </w:r>
            <w:r>
              <w:rPr>
                <w:i w:val="0"/>
                <w:color w:val="000000"/>
                <w:sz w:val="20"/>
              </w:rPr>
              <w:t xml:space="preserve"> utilizando técnicas que permitan sistematizar el proceso de desarrollo y mantenimiento, asegurando el logro de los objetivos.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Realizar pruebas de certificación tanto de los productos como de los procesos utilizando buenas prácticas definidas por la industria.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FB7F71E" w14:textId="09D9C45D" w:rsidR="00B4008E" w:rsidRPr="00B340E1" w:rsidRDefault="00B4008E" w:rsidP="00B340E1"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>Mira resuelve un problema de gestión de activos en una empresa que vende y arrienda instrumental de geomensura (estaciones totales, receptores GPS RTK, drones y niveles) a empresas mineras, constructoras y consultoras de topografía. El caso se sitúa en una empresa del rubro ubicada en la comuna de Providencia, Región Metropolitana, que opera con más de una bodega y administra su inventario en planillas de cálculo actualizadas a mano.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El registro es genérico: contabiliza cantidades por categoría y no unidades individuales. Por eso la empresa no puede saber en qué bodega está un equipo, si está arrendado, a quién se entregó ni cuándo debe volver. </w:t>
            </w:r>
            <w:r>
              <w:rPr>
                <w:b/>
                <w:i w:val="0"/>
                <w:color w:val="000000"/>
                <w:sz w:val="20"/>
              </w:rPr>
              <w:t>El problema de fondo no es la falta de registro, sino que una planilla describe un estado fijo y los equipos cambian de estado y ubicación todos los días.</w:t>
            </w:r>
            <w:r>
              <w:rPr>
                <w:i w:val="0"/>
                <w:color w:val="000000"/>
                <w:sz w:val="20"/>
              </w:rPr>
              <w:t xml:space="preserve"> Las consecuencias son búsquedas manuales entre bodegas, respuestas tardías a los clientes, arriendos vencidos que nadie detecta y que inmovilizan equipos de alto valor, y ausencia de información para decidir compras.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>La situación afecta al personal de bodega, al área comercial y a la jefatura, y de forma indirecta a los clientes. Para la profesión, el caso es representativo de la pequeña y mediana empresa chilena: procesos sostenidos por planillas hasta que el volumen los supera. Resolverlo exige levantar requerimientos con usuarios que no son del área informática, modelar un dominio real y construir una solución mantenible.</w:t>
            </w:r>
          </w:p>
          <w:p>
            <w:pPr>
              <w:spacing w:after="80"/>
              <w:jc w:val="both"/>
            </w:pPr>
            <w:r>
              <w:rPr>
                <w:b/>
                <w:i w:val="0"/>
                <w:color w:val="000000"/>
                <w:sz w:val="20"/>
              </w:rPr>
              <w:t>Aporte de valor.</w:t>
            </w:r>
            <w:r>
              <w:rPr>
                <w:i w:val="0"/>
                <w:color w:val="000000"/>
                <w:sz w:val="20"/>
              </w:rPr>
              <w:t xml:space="preserve"> El aporte se expresa en las metas medibles del </w:t>
            </w:r>
            <w:r>
              <w:rPr>
                <w:i/>
                <w:color w:val="000000"/>
                <w:sz w:val="20"/>
              </w:rPr>
              <w:t>Product Vision</w:t>
            </w:r>
            <w:r>
              <w:rPr>
                <w:i w:val="0"/>
                <w:color w:val="000000"/>
                <w:sz w:val="20"/>
              </w:rPr>
              <w:t>, que verifican los casos de prueba del proyecto: responder una consulta de disponibilidad en menos de 2 segundos, identificar el 100 % de los equipos por número de serie, alertar el 100 % de los arriendos vencidos y llevar a cero los equipos comprometidos en dos operaciones a la vez.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7777777" w:rsidR="001202BF" w:rsidRPr="00B340E1" w:rsidRDefault="001202BF" w:rsidP="001202BF"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Objetivo general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>Desarrollar una aplicación web que permita gestionar la trazabilidad, la disponibilidad y las operaciones de venta y arriendo de los equipos de geomensura de la empresa, centralizando la información de sus bodegas, capacitaciones y documentación asociada.</w:t>
            </w:r>
          </w:p>
          <w:p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Objetivos específicos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Levantar los requerimientos del proceso de bodega, arriendo y despacho mediante entrevistas con la contraparte y el análisis de su documentación operativa.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Diseñar un modelo de datos que represente cada equipo como una unidad individual, con su estado, ubicación e historial de movimientos.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Implementar un módulo de inventario multibodega que registre los traslados y controle los estados de cada equipo.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Desarrollar un módulo de operaciones de venta y arriendo que valide la disponibilidad y controle las fechas de retorno mediante alertas.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Incorporar el agendamiento de capacitaciones y la vinculación de los documentos asociados a cada operación.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Construir un panel de indicadores que permita visualizar el estado del inventario y el nivel de utilización de los equipos.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Validar la solución mediante pruebas funcionales y una revisión con la contraparte de la empresa.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>Los objetivos se mantienen sin cambios de redacción respecto de la Fase 1. Los vacíos de información del levantamiento quedaron como supuestos de diseño declarados, y la validación de la solución se apoya en la verificación automatizada de cada criterio de aceptación.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507DAEE" w14:textId="77777777" w:rsidR="001202BF" w:rsidRPr="00B340E1" w:rsidRDefault="001202BF" w:rsidP="001202BF"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El proyecto aplica un </w:t>
            </w:r>
            <w:r>
              <w:rPr>
                <w:b/>
                <w:i w:val="0"/>
                <w:color w:val="000000"/>
                <w:sz w:val="20"/>
              </w:rPr>
              <w:t>marco ágil basado en Scrum</w:t>
            </w:r>
            <w:r>
              <w:rPr>
                <w:i w:val="0"/>
                <w:color w:val="000000"/>
                <w:sz w:val="20"/>
              </w:rPr>
              <w:t xml:space="preserve"> (Schwaber y Sutherland, 2020), adaptado al calendario de dieciocho semanas de la asignatura. Se eligió porque los requerimientos provenían de una empresa en operación y era esperable que se precisaran durante el desarrollo; un enfoque iterativo permite inspeccionar el avance y adaptar el plan sin rehacer lo construido.</w:t>
            </w:r>
          </w:p>
          <w:p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Fases y procedimientos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Definición (semanas 1 a 4).</w:t>
            </w:r>
            <w:r>
              <w:rPr>
                <w:i w:val="0"/>
                <w:color w:val="000000"/>
                <w:sz w:val="20"/>
              </w:rPr>
              <w:t xml:space="preserve"> Problema, objetivos, alcance y nueve épicas dimensionadas con </w:t>
            </w:r>
            <w:r>
              <w:rPr>
                <w:i/>
                <w:color w:val="000000"/>
                <w:sz w:val="20"/>
              </w:rPr>
              <w:t>Poker Planning</w:t>
            </w:r>
            <w:r>
              <w:rPr>
                <w:i w:val="0"/>
                <w:color w:val="000000"/>
                <w:sz w:val="20"/>
              </w:rPr>
              <w:t xml:space="preserve"> en cien puntos de función.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Diseño (semanas 4 y 5).</w:t>
            </w:r>
            <w:r>
              <w:rPr>
                <w:i w:val="0"/>
                <w:color w:val="000000"/>
                <w:sz w:val="20"/>
              </w:rPr>
              <w:t xml:space="preserve"> Modelo entidad-relación de catorce tablas con su diccionario, arquitectura en capas, convenciones de código y catálogo de casos de prueba, todo antes de escribir código.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Construcción iterativa (semanas 5 a 15).</w:t>
            </w:r>
            <w:r>
              <w:rPr>
                <w:i w:val="0"/>
                <w:color w:val="000000"/>
                <w:sz w:val="20"/>
              </w:rPr>
              <w:t xml:space="preserve"> Sprints de dos semanas con un objetivo en una frase, historias con criterios de aceptación verificables y demostración al cierre.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Pruebas (transversal).</w:t>
            </w:r>
            <w:r>
              <w:rPr>
                <w:i w:val="0"/>
                <w:color w:val="000000"/>
                <w:sz w:val="20"/>
              </w:rPr>
              <w:t xml:space="preserve"> Cada historia incluye su prueba automatizada como parte de la </w:t>
            </w:r>
            <w:r>
              <w:rPr>
                <w:i/>
                <w:color w:val="000000"/>
                <w:sz w:val="20"/>
              </w:rPr>
              <w:t>Definition of Done</w:t>
            </w:r>
            <w:r>
              <w:rPr>
                <w:i w:val="0"/>
                <w:color w:val="000000"/>
                <w:sz w:val="20"/>
              </w:rPr>
              <w:t>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Implantación y cierre (semanas 16 a 18).</w:t>
            </w:r>
            <w:r>
              <w:rPr>
                <w:i w:val="0"/>
                <w:color w:val="000000"/>
                <w:sz w:val="20"/>
              </w:rPr>
              <w:t xml:space="preserve"> Despliegue con contenedores en un ambiente de demostración, informe final y presentación.</w:t>
            </w:r>
          </w:p>
          <w:p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Artefactos y prácticas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Los artefactos del marco están en la carpeta Fase 2 del repositorio: </w:t>
            </w:r>
            <w:r>
              <w:rPr>
                <w:i/>
                <w:color w:val="000000"/>
                <w:sz w:val="20"/>
              </w:rPr>
              <w:t>Product Vision</w:t>
            </w:r>
            <w:r>
              <w:rPr>
                <w:i w:val="0"/>
                <w:color w:val="000000"/>
                <w:sz w:val="20"/>
              </w:rPr>
              <w:t xml:space="preserve">, </w:t>
            </w:r>
            <w:r>
              <w:rPr>
                <w:i/>
                <w:color w:val="000000"/>
                <w:sz w:val="20"/>
              </w:rPr>
              <w:t>Product Backlog</w:t>
            </w:r>
            <w:r>
              <w:rPr>
                <w:i w:val="0"/>
                <w:color w:val="000000"/>
                <w:sz w:val="20"/>
              </w:rPr>
              <w:t xml:space="preserve"> priorizado con 28 historias de usuario, </w:t>
            </w:r>
            <w:r>
              <w:rPr>
                <w:i/>
                <w:color w:val="000000"/>
                <w:sz w:val="20"/>
              </w:rPr>
              <w:t>Definition of Done</w:t>
            </w:r>
            <w:r>
              <w:rPr>
                <w:i w:val="0"/>
                <w:color w:val="000000"/>
                <w:sz w:val="20"/>
              </w:rPr>
              <w:t xml:space="preserve"> y Documento de Diseño. El seguimiento se hace en dos sincronizaciones semanales y en el tablero de GitHub Projects. Desde la semana 8, por sugerencia del docente, se trabaja con </w:t>
            </w:r>
            <w:r>
              <w:rPr>
                <w:b/>
                <w:i w:val="0"/>
                <w:color w:val="000000"/>
                <w:sz w:val="20"/>
              </w:rPr>
              <w:t>una rama por semana</w:t>
            </w:r>
            <w:r>
              <w:rPr>
                <w:i w:val="0"/>
                <w:color w:val="000000"/>
                <w:sz w:val="20"/>
              </w:rPr>
              <w:t xml:space="preserve"> que se integra a la rama principal mediante un </w:t>
            </w:r>
            <w:r>
              <w:rPr>
                <w:i/>
                <w:color w:val="000000"/>
                <w:sz w:val="20"/>
              </w:rPr>
              <w:t>pull request</w:t>
            </w:r>
            <w:r>
              <w:rPr>
                <w:i w:val="0"/>
                <w:color w:val="000000"/>
                <w:sz w:val="20"/>
              </w:rPr>
              <w:t xml:space="preserve"> revisado por el otro integrante (decisión D11). El esquema de base de datos se versiona con migraciones de Flyway que nunca se editan, y las reglas del proyecto (capas, transacciones, filtro por empresa, zonas de propiedad del código) están escritas en el repositorio, de modo que ambos integrantes y sus asistentes de programación trabajan con las mismas normas.</w:t>
            </w:r>
          </w:p>
          <w:p>
            <w:pPr>
              <w:spacing w:after="80"/>
              <w:jc w:val="both"/>
            </w:pPr>
            <w:r>
              <w:rPr>
                <w:b/>
                <w:i w:val="0"/>
                <w:color w:val="000000"/>
                <w:sz w:val="20"/>
              </w:rPr>
              <w:t>Roles.</w:t>
            </w:r>
            <w:r>
              <w:rPr>
                <w:i w:val="0"/>
                <w:color w:val="000000"/>
                <w:sz w:val="20"/>
              </w:rPr>
              <w:t xml:space="preserve"> Joaquín Romero lidera la planificación y el control del avance y es responsable del modelo de datos y de la capa de servicios. Gonzalo Arenas es responsable de los controladores, las vistas, el panel de indicadores y el módulo documental, y lidera la documentación y las presentaciones. El docente valida el alcance en las instancias de control de avance.</w:t>
            </w:r>
          </w:p>
          <w:p>
            <w:pPr>
              <w:spacing w:after="80"/>
              <w:jc w:val="both"/>
            </w:pPr>
            <w:r>
              <w:rPr>
                <w:b/>
                <w:i w:val="0"/>
                <w:color w:val="000000"/>
                <w:sz w:val="20"/>
              </w:rPr>
              <w:t>Pertinencia.</w:t>
            </w:r>
            <w:r>
              <w:rPr>
                <w:i w:val="0"/>
                <w:color w:val="000000"/>
                <w:sz w:val="20"/>
              </w:rPr>
              <w:t xml:space="preserve"> La metodología permitió detectar el atraso y corregirlo sin perder alcance: el monitoreo de la semana 6 mostró que la planificación tenía rangos de semanas pero no hitos verificables, y la respuesta fue formalizar los </w:t>
            </w:r>
            <w:r>
              <w:rPr>
                <w:i/>
                <w:color w:val="000000"/>
                <w:sz w:val="20"/>
              </w:rPr>
              <w:t>sprints</w:t>
            </w:r>
            <w:r>
              <w:rPr>
                <w:i w:val="0"/>
                <w:color w:val="000000"/>
                <w:sz w:val="20"/>
              </w:rPr>
              <w:t xml:space="preserve"> con demostración obligatoria y una </w:t>
            </w:r>
            <w:r>
              <w:rPr>
                <w:i/>
                <w:color w:val="000000"/>
                <w:sz w:val="20"/>
              </w:rPr>
              <w:t>Definition of Done</w:t>
            </w:r>
            <w:r>
              <w:rPr>
                <w:i w:val="0"/>
                <w:color w:val="000000"/>
                <w:sz w:val="20"/>
              </w:rPr>
              <w:t xml:space="preserve"> escrita.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A39F3E2" w14:textId="6A2D2466" w:rsidR="001202BF" w:rsidRPr="00B340E1" w:rsidRDefault="001202BF" w:rsidP="001202BF"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Etapas y actividades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2649"/>
              <w:gridCol w:w="927"/>
              <w:gridCol w:w="2914"/>
            </w:tblGrid>
            <w:tr>
              <w:tc>
                <w:tcPr>
                  <w:tcW w:type="dxa" w:w="2650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Actividad</w:t>
                  </w:r>
                </w:p>
              </w:tc>
              <w:tc>
                <w:tcPr>
                  <w:tcW w:type="dxa" w:w="927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Semanas</w:t>
                  </w:r>
                </w:p>
              </w:tc>
              <w:tc>
                <w:tcPr>
                  <w:tcW w:type="dxa" w:w="2915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Estado a la semana 8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Levantamiento de requerimientos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1 a 3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Ajustada: vacíos resueltos como supuestos de diseño declarados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Definición del alcance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3 y 4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Completada: nueve épicas, 100 PF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Diseño del modelo de datos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4 y 5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Completada: 14 tablas con diccionario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Configuración del entorno y repositorio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5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 xml:space="preserve">Completada: </w:t>
                  </w:r>
                  <w:r>
                    <w:rPr>
                      <w:i/>
                      <w:color w:val="000000"/>
                      <w:sz w:val="18"/>
                    </w:rPr>
                    <w:t>pull request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 #1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Diseño de los casos de prueba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4 y 5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Completada: 14 funcionales y 16 no funcionales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Implementación del modelo de datos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5 y 6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Completada en la semana 8: migraciones V1 y V2 y entidades de usuarios e inventario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Núcleo del sistema (E001 a E004)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6 a 10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En curso: HU-01 a HU-08 implementadas y probadas en la semana 8; faltan traslados y disponibilidad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Documentación ágil y de diseño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8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Completada en la semana 8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Módulos de operaciones (E005 a E008)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10 a 14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No iniciada, dentro de plazo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Panel de indicadores (E009)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13 a 15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No iniciada, dentro de plazo</w:t>
                  </w:r>
                </w:p>
              </w:tc>
            </w:tr>
            <w:tr>
              <w:tc>
                <w:tcPr>
                  <w:tcW w:type="dxa" w:w="265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Implantación en ambiente de demostración</w:t>
                  </w:r>
                </w:p>
              </w:tc>
              <w:tc>
                <w:tcPr>
                  <w:tcW w:type="dxa" w:w="927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16</w:t>
                  </w:r>
                </w:p>
              </w:tc>
              <w:tc>
                <w:tcPr>
                  <w:tcW w:type="dxa" w:w="2915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No iniciada, dentro de plazo</w:t>
                  </w:r>
                </w:p>
              </w:tc>
            </w:tr>
          </w:tbl>
          <w:p/>
          <w:p>
            <w:pPr/>
          </w:p>
          <w:p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Facilitadores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La documentación técnica escrita antes de programar (modelo de datos, arquitectura, convenciones y registro de decisiones) permitió retomar el trabajo tras varias semanas sin volver a decidir nada. Las zonas de propiedad del código permiten trabajar en paralelo sin conflictos, el </w:t>
            </w:r>
            <w:r>
              <w:rPr>
                <w:i/>
                <w:color w:val="000000"/>
                <w:sz w:val="20"/>
              </w:rPr>
              <w:t>stack</w:t>
            </w:r>
            <w:r>
              <w:rPr>
                <w:i w:val="0"/>
                <w:color w:val="000000"/>
                <w:sz w:val="20"/>
              </w:rPr>
              <w:t xml:space="preserve"> no tiene costo de licencias y los contenedores eliminan las diferencias de configuración entre equipos.</w:t>
            </w:r>
          </w:p>
          <w:p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Dificultades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Aplazamiento de las reuniones con la empresa.</w:t>
            </w:r>
            <w:r>
              <w:rPr>
                <w:i w:val="0"/>
                <w:color w:val="000000"/>
                <w:sz w:val="20"/>
              </w:rPr>
              <w:t xml:space="preserve"> Las instancias de validación de las semanas 6 y 11 se aplazaron y el proyecto no podía seguir esperando.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Bloqueo del entorno de desarrollo.</w:t>
            </w:r>
            <w:r>
              <w:rPr>
                <w:i w:val="0"/>
                <w:color w:val="000000"/>
                <w:sz w:val="20"/>
              </w:rPr>
              <w:t xml:space="preserve"> El motor de contenedores no operaba en el equipo de un integrante, lo que impidió aplicar y verificar las migraciones.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Pérdida temporal del acceso a la cuenta de GitHub</w:t>
            </w:r>
            <w:r>
              <w:rPr>
                <w:i w:val="0"/>
                <w:color w:val="000000"/>
                <w:sz w:val="20"/>
              </w:rPr>
              <w:t xml:space="preserve"> de un integrante.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b/>
                <w:i w:val="0"/>
                <w:color w:val="000000"/>
                <w:sz w:val="20"/>
              </w:rPr>
              <w:t>Planificación sin hitos verificables.</w:t>
            </w:r>
            <w:r>
              <w:rPr>
                <w:i w:val="0"/>
                <w:color w:val="000000"/>
                <w:sz w:val="20"/>
              </w:rPr>
              <w:t xml:space="preserve"> Los rangos de semanas permitieron que el desarrollo se detuviera sin que se activara ninguna alarma: el último </w:t>
            </w:r>
            <w:r>
              <w:rPr>
                <w:i/>
                <w:color w:val="000000"/>
                <w:sz w:val="20"/>
              </w:rPr>
              <w:t>commit</w:t>
            </w:r>
            <w:r>
              <w:rPr>
                <w:i w:val="0"/>
                <w:color w:val="000000"/>
                <w:sz w:val="20"/>
              </w:rPr>
              <w:t xml:space="preserve"> de código fue del 10 de septiembre.</w:t>
            </w:r>
          </w:p>
          <w:p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Ajustes realizados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Se consultó al docente y se continuó con la propuesta original; los supuestos del modelo pasaron a ser decisiones de diseño declaradas.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Se resolvió el bloqueo del entorno y se acordó que ninguna migración se integra sin haberse ejecutado al menos una vez.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Se definió un traspaso por paquetes de Git (</w:t>
            </w:r>
            <w:r>
              <w:rPr>
                <w:i/>
                <w:color w:val="000000"/>
                <w:sz w:val="20"/>
              </w:rPr>
              <w:t>bundle</w:t>
            </w:r>
            <w:r>
              <w:rPr>
                <w:i w:val="0"/>
                <w:color w:val="000000"/>
                <w:sz w:val="20"/>
              </w:rPr>
              <w:t xml:space="preserve">) que conserva la autoría de los </w:t>
            </w:r>
            <w:r>
              <w:rPr>
                <w:i/>
                <w:color w:val="000000"/>
                <w:sz w:val="20"/>
              </w:rPr>
              <w:t>commits</w:t>
            </w:r>
            <w:r>
              <w:rPr>
                <w:i w:val="0"/>
                <w:color w:val="000000"/>
                <w:sz w:val="20"/>
              </w:rPr>
              <w:t xml:space="preserve"> mientras se recuperaba el acceso.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 xml:space="preserve">Se formalizaron los </w:t>
            </w:r>
            <w:r>
              <w:rPr>
                <w:i/>
                <w:color w:val="000000"/>
                <w:sz w:val="20"/>
              </w:rPr>
              <w:t>sprints</w:t>
            </w:r>
            <w:r>
              <w:rPr>
                <w:i w:val="0"/>
                <w:color w:val="000000"/>
                <w:sz w:val="20"/>
              </w:rPr>
              <w:t xml:space="preserve"> de dos semanas con objetivo, demostración y </w:t>
            </w:r>
            <w:r>
              <w:rPr>
                <w:i/>
                <w:color w:val="000000"/>
                <w:sz w:val="20"/>
              </w:rPr>
              <w:t>Definition of Done</w:t>
            </w:r>
            <w:r>
              <w:rPr>
                <w:i w:val="0"/>
                <w:color w:val="000000"/>
                <w:sz w:val="20"/>
              </w:rPr>
              <w:t>; las historias del Sprint 1 pasaron al Sprint 2.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 xml:space="preserve">Se adoptó una rama por semana con revisión cruzada por </w:t>
            </w:r>
            <w:r>
              <w:rPr>
                <w:i/>
                <w:color w:val="000000"/>
                <w:sz w:val="20"/>
              </w:rPr>
              <w:t>pull request</w:t>
            </w:r>
            <w:r>
              <w:rPr>
                <w:i w:val="0"/>
                <w:color w:val="000000"/>
                <w:sz w:val="20"/>
              </w:rPr>
              <w:t>, a sugerencia del docente.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Al aplicar por primera vez las migraciones se detectó que Flyway no se ejecutaba: en Spring Boot 4 su configuración automática requiere un módulo propio. Se corrigió (decisión D12) y se agregó una prueba automatizada que verifica que ambas migraciones queden aplicadas.</w:t>
            </w:r>
          </w:p>
          <w:p>
            <w:pPr>
              <w:numPr>
                <w:ilvl w:val="0"/>
                <w:numId w:val="1"/>
              </w:numPr>
              <w:spacing w:after="40"/>
              <w:ind w:left="360" w:hanging="240"/>
              <w:jc w:val="both"/>
            </w:pPr>
            <w:r>
              <w:rPr>
                <w:i w:val="0"/>
                <w:color w:val="000000"/>
                <w:sz w:val="20"/>
              </w:rPr>
              <w:t>Se definió una contingencia: si el atraso persiste al cierre del Sprint 3, se priorizan las épicas E001 a E006 y las restantes se documentan como trabajo futuro, previa consulta con el docente.</w:t>
            </w:r>
          </w:p>
          <w:p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Retrospectiva del Sprint 1 (semanas 6 y 7)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2164"/>
              <w:gridCol w:w="2164"/>
              <w:gridCol w:w="2164"/>
            </w:tblGrid>
            <w:tr>
              <w:tc>
                <w:tcPr>
                  <w:tcW w:type="dxa" w:w="2164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Qué funcionó</w:t>
                  </w:r>
                </w:p>
              </w:tc>
              <w:tc>
                <w:tcPr>
                  <w:tcW w:type="dxa" w:w="2164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Qué no funcionó</w:t>
                  </w:r>
                </w:p>
              </w:tc>
              <w:tc>
                <w:tcPr>
                  <w:tcW w:type="dxa" w:w="2164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Qué cambiamos</w:t>
                  </w:r>
                </w:p>
              </w:tc>
            </w:tr>
            <w:tr>
              <w:tc>
                <w:tcPr>
                  <w:tcW w:type="dxa" w:w="216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El diseño previo: al retomar no hubo que rediscutir el modelo ni la arquitectura.</w:t>
                  </w:r>
                </w:p>
              </w:tc>
              <w:tc>
                <w:tcPr>
                  <w:tcW w:type="dxa" w:w="216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 xml:space="preserve">No hubo entregable intermedio: el </w:t>
                  </w:r>
                  <w:r>
                    <w:rPr>
                      <w:i/>
                      <w:color w:val="000000"/>
                      <w:sz w:val="18"/>
                    </w:rPr>
                    <w:t>sprint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 terminó sin migraciones ni entidades.</w:t>
                  </w:r>
                </w:p>
              </w:tc>
              <w:tc>
                <w:tcPr>
                  <w:tcW w:type="dxa" w:w="216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 xml:space="preserve">Demostración obligatoria al cierre de cada </w:t>
                  </w:r>
                  <w:r>
                    <w:rPr>
                      <w:i/>
                      <w:color w:val="000000"/>
                      <w:sz w:val="18"/>
                    </w:rPr>
                    <w:t>sprint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 y </w:t>
                  </w:r>
                  <w:r>
                    <w:rPr>
                      <w:i/>
                      <w:color w:val="000000"/>
                      <w:sz w:val="18"/>
                    </w:rPr>
                    <w:t>Definition of Done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 escrita.</w:t>
                  </w:r>
                </w:p>
              </w:tc>
            </w:tr>
            <w:tr>
              <w:tc>
                <w:tcPr>
                  <w:tcW w:type="dxa" w:w="216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Consultar al docente en vez de esperar las reuniones aplazadas.</w:t>
                  </w:r>
                </w:p>
              </w:tc>
              <w:tc>
                <w:tcPr>
                  <w:tcW w:type="dxa" w:w="216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La documentación ágil exigida no estaba en el repositorio.</w:t>
                  </w:r>
                </w:p>
              </w:tc>
              <w:tc>
                <w:tcPr>
                  <w:tcW w:type="dxa" w:w="2164"/>
                </w:tcPr>
                <w:p>
                  <w:r>
                    <w:rPr>
                      <w:i/>
                      <w:color w:val="000000"/>
                      <w:sz w:val="18"/>
                    </w:rPr>
                    <w:t>Product Vision</w:t>
                  </w:r>
                  <w:r>
                    <w:rPr>
                      <w:i w:val="0"/>
                      <w:color w:val="000000"/>
                      <w:sz w:val="18"/>
                    </w:rPr>
                    <w:t>, Backlog, DoD y Diseño entregados en la semana 8.</w:t>
                  </w:r>
                </w:p>
              </w:tc>
            </w:tr>
            <w:tr>
              <w:tc>
                <w:tcPr>
                  <w:tcW w:type="dxa" w:w="216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Las zonas de propiedad evitaron conflictos entre integrantes.</w:t>
                  </w:r>
                </w:p>
              </w:tc>
              <w:tc>
                <w:tcPr>
                  <w:tcW w:type="dxa" w:w="216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Las ramas por funcionalidad vivían semanas sin integrarse.</w:t>
                  </w:r>
                </w:p>
              </w:tc>
              <w:tc>
                <w:tcPr>
                  <w:tcW w:type="dxa" w:w="216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 xml:space="preserve">Una rama por semana con </w:t>
                  </w:r>
                  <w:r>
                    <w:rPr>
                      <w:i/>
                      <w:color w:val="000000"/>
                      <w:sz w:val="18"/>
                    </w:rPr>
                    <w:t>pull request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 revisado al cierre.</w:t>
                  </w:r>
                </w:p>
              </w:tc>
            </w:tr>
          </w:tbl>
          <w:p/>
          <w:p>
            <w:pPr/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Todas las evidencias están en el repositorio público del proyecto, </w:t>
            </w:r>
            <w:r>
              <w:rPr>
                <w:b/>
                <w:i w:val="0"/>
                <w:color w:val="000000"/>
                <w:sz w:val="20"/>
              </w:rPr>
              <w:t>github.com/gonzaloarenasduoc/Mira</w:t>
            </w:r>
            <w:r>
              <w:rPr>
                <w:i w:val="0"/>
                <w:color w:val="000000"/>
                <w:sz w:val="20"/>
              </w:rPr>
              <w:t>, organizadas con la misma estructura de carpetas y nombres de archivo definida por la asignatura.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2305"/>
              <w:gridCol w:w="2062"/>
              <w:gridCol w:w="2123"/>
            </w:tblGrid>
            <w:tr>
              <w:tc>
                <w:tcPr>
                  <w:tcW w:type="dxa" w:w="2306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Evidencia</w:t>
                  </w:r>
                </w:p>
              </w:tc>
              <w:tc>
                <w:tcPr>
                  <w:tcW w:type="dxa" w:w="2063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Ubicación en el repositorio</w:t>
                  </w:r>
                </w:p>
              </w:tc>
              <w:tc>
                <w:tcPr>
                  <w:tcW w:type="dxa" w:w="2124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Qué acredita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/>
                      <w:color w:val="000000"/>
                      <w:sz w:val="18"/>
                    </w:rPr>
                    <w:t>Product Vision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i/>
                      <w:color w:val="000000"/>
                      <w:sz w:val="18"/>
                    </w:rPr>
                    <w:t>Product Backlog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i/>
                      <w:color w:val="000000"/>
                      <w:sz w:val="18"/>
                    </w:rPr>
                    <w:t>Definition of Done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 y Documento de Diseño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Fase 2/Evidencias Proyecto (version Agil)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Documentación ágil y de diseño exigida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Guía de desarrollo 2.4 e informe 2.6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Fase 2/Evidencias Grupales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Monitoreo del plan de trabajo y ajustes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Diarios de reflexión 2.1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Fase 2/Evidencias Individules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Reflexión individual de cada integrante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Modelo de datos y diccionario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docs/03-modelo-datos.md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Diseño del modelo de datos (14 tablas)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Migraciones V1 y V2 y su prueba automatizada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src/main/resources/db/migration y src/test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Implementación del modelo en PostgreSQL 16, verificada con Testcontainers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Diagramas UML en PlantUML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docs/diagramas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Casos de uso, E-R, clases, secuencia, componentes y despliegue, versionados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Catálogo de casos de prueba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docs/10-casos-de-prueba.md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Diseño de pruebas funcionales y no funcionales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Registro de decisiones D01 a D11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docs/08-decisiones.md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Alternativas evaluadas y fundamento de cada decisión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Proyecto base y entorno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pom.xml, src, docker-compose.yml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Solución construida con Spring Boot, Flyway, PostgreSQL y Docker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Código del Sprint 2: acceso por rol, usuarios, bodegas y equipos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src/main/java/cl/duoc/mira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Historias HU-01 a HU-08 implementadas en capas, con filtro por empresa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Pruebas automatizadas (29)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src/test/java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Reglas de negocio, permisos por rol (CF-11), acceso sin sesión (PNF-05) y migraciones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Capturas del recorrido del sistema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docs/evidencias/semana-08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Funcionamiento de cada historia del Sprint 2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Demostración del sistema levantando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Demo/Demo_v2.mp4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Que lo documentado existe y funciona</w:t>
                  </w:r>
                </w:p>
              </w:tc>
            </w:tr>
            <w:tr>
              <w:tc>
                <w:tcPr>
                  <w:tcW w:type="dxa" w:w="230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 xml:space="preserve">Historial de </w:t>
                  </w:r>
                  <w:r>
                    <w:rPr>
                      <w:i/>
                      <w:color w:val="000000"/>
                      <w:sz w:val="18"/>
                    </w:rPr>
                    <w:t>commits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 y </w:t>
                  </w:r>
                  <w:r>
                    <w:rPr>
                      <w:i/>
                      <w:color w:val="000000"/>
                      <w:sz w:val="18"/>
                    </w:rPr>
                    <w:t>pull requests</w:t>
                  </w:r>
                </w:p>
              </w:tc>
              <w:tc>
                <w:tcPr>
                  <w:tcW w:type="dxa" w:w="2063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Rama main y ramas semanales</w:t>
                  </w:r>
                </w:p>
              </w:tc>
              <w:tc>
                <w:tcPr>
                  <w:tcW w:type="dxa" w:w="2124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Trazabilidad del trabajo y aporte de cada integrante</w:t>
                  </w:r>
                </w:p>
              </w:tc>
            </w:tr>
          </w:tbl>
          <w:p/>
          <w:p>
            <w:pPr/>
          </w:p>
          <w:p>
            <w:pPr>
              <w:keepNext/>
              <w:spacing w:before="120" w:after="40"/>
            </w:pPr>
            <w:r>
              <w:rPr>
                <w:b/>
                <w:i w:val="0"/>
                <w:color w:val="1F3864"/>
                <w:sz w:val="20"/>
              </w:rPr>
              <w:t>Aporte de cada integrante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56"/>
              <w:gridCol w:w="4125"/>
              <w:gridCol w:w="910"/>
            </w:tblGrid>
            <w:tr>
              <w:tc>
                <w:tcPr>
                  <w:tcW w:type="dxa" w:w="1456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Integrante</w:t>
                  </w:r>
                </w:p>
              </w:tc>
              <w:tc>
                <w:tcPr>
                  <w:tcW w:type="dxa" w:w="4126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Responsabilidades y entregables</w:t>
                  </w:r>
                </w:p>
              </w:tc>
              <w:tc>
                <w:tcPr>
                  <w:tcW w:type="dxa" w:w="910"/>
                  <w:shd w:val="clear" w:color="auto" w:fill="DCE8F5"/>
                </w:tcPr>
                <w:p>
                  <w:r>
                    <w:rPr>
                      <w:b/>
                      <w:i w:val="0"/>
                      <w:color w:val="000000"/>
                      <w:sz w:val="18"/>
                    </w:rPr>
                    <w:t>Commits</w:t>
                  </w:r>
                </w:p>
              </w:tc>
            </w:tr>
            <w:tr>
              <w:tc>
                <w:tcPr>
                  <w:tcW w:type="dxa" w:w="145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Joaquín Romero</w:t>
                  </w:r>
                </w:p>
              </w:tc>
              <w:tc>
                <w:tcPr>
                  <w:tcW w:type="dxa" w:w="412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 xml:space="preserve">Planificación y control; modelo de datos; proyecto base; </w:t>
                  </w:r>
                  <w:r>
                    <w:rPr>
                      <w:i/>
                      <w:color w:val="000000"/>
                      <w:sz w:val="18"/>
                    </w:rPr>
                    <w:t>Product Backlog</w:t>
                  </w:r>
                  <w:r>
                    <w:rPr>
                      <w:i w:val="0"/>
                      <w:color w:val="000000"/>
                      <w:sz w:val="18"/>
                    </w:rPr>
                    <w:t xml:space="preserve">; </w:t>
                  </w:r>
                  <w:r>
                    <w:rPr>
                      <w:i/>
                      <w:color w:val="000000"/>
                      <w:sz w:val="18"/>
                    </w:rPr>
                    <w:t>Definition of Done</w:t>
                  </w:r>
                  <w:r>
                    <w:rPr>
                      <w:i w:val="0"/>
                      <w:color w:val="000000"/>
                      <w:sz w:val="18"/>
                    </w:rPr>
                    <w:t>; diagramas E-R, de clases y de secuencia; migraciones del esquema; entidades, servicios y pruebas de negocio del Sprint 2.</w:t>
                  </w:r>
                </w:p>
              </w:tc>
              <w:tc>
                <w:tcPr>
                  <w:tcW w:type="dxa" w:w="91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32</w:t>
                  </w:r>
                </w:p>
              </w:tc>
            </w:tr>
            <w:tr>
              <w:tc>
                <w:tcPr>
                  <w:tcW w:type="dxa" w:w="145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Gonzalo Arenas</w:t>
                  </w:r>
                </w:p>
              </w:tc>
              <w:tc>
                <w:tcPr>
                  <w:tcW w:type="dxa" w:w="4126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 xml:space="preserve">Repositorio y README; evidencias de la Fase 1; grabación de la demostración; </w:t>
                  </w:r>
                  <w:r>
                    <w:rPr>
                      <w:i/>
                      <w:color w:val="000000"/>
                      <w:sz w:val="18"/>
                    </w:rPr>
                    <w:t>Product Vision</w:t>
                  </w:r>
                  <w:r>
                    <w:rPr>
                      <w:i w:val="0"/>
                      <w:color w:val="000000"/>
                      <w:sz w:val="18"/>
                    </w:rPr>
                    <w:t>; Documento de Diseño; diagramas de casos de uso, componentes y despliegue; controladores, vistas y pruebas de permisos del Sprint 2.</w:t>
                  </w:r>
                </w:p>
              </w:tc>
              <w:tc>
                <w:tcPr>
                  <w:tcW w:type="dxa" w:w="910"/>
                </w:tcPr>
                <w:p>
                  <w:r>
                    <w:rPr>
                      <w:i w:val="0"/>
                      <w:color w:val="000000"/>
                      <w:sz w:val="18"/>
                    </w:rPr>
                    <w:t>23</w:t>
                  </w:r>
                </w:p>
              </w:tc>
            </w:tr>
          </w:tbl>
          <w:p/>
          <w:p>
            <w:pPr/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La autoría se puede verificar en el historial del repositorio: cada </w:t>
            </w:r>
            <w:r>
              <w:rPr>
                <w:i/>
                <w:color w:val="000000"/>
                <w:sz w:val="20"/>
              </w:rPr>
              <w:t>commit</w:t>
            </w:r>
            <w:r>
              <w:rPr>
                <w:i w:val="0"/>
                <w:color w:val="000000"/>
                <w:sz w:val="20"/>
              </w:rPr>
              <w:t xml:space="preserve"> conserva el nombre de quien lo escribió, incluidos los que se traspasaron mediante paquetes de Git mientras un integrante no tenía acceso a su cuenta.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E7B9ADE" w14:textId="79AFCCBE" w:rsidR="001202BF" w:rsidRPr="00B340E1" w:rsidRDefault="001202BF" w:rsidP="7EB51544">
            <w:pPr>
              <w:spacing w:after="80"/>
              <w:jc w:val="both"/>
            </w:pPr>
            <w:r>
              <w:rPr>
                <w:b/>
                <w:i w:val="0"/>
                <w:color w:val="000000"/>
                <w:sz w:val="20"/>
              </w:rPr>
              <w:t>Joaquín Romero.</w:t>
            </w:r>
            <w:r>
              <w:rPr>
                <w:i w:val="0"/>
                <w:color w:val="000000"/>
                <w:sz w:val="20"/>
              </w:rPr>
              <w:t xml:space="preserve"> Mi interés está en el desarrollo </w:t>
            </w:r>
            <w:r>
              <w:rPr>
                <w:i/>
                <w:color w:val="000000"/>
                <w:sz w:val="20"/>
              </w:rPr>
              <w:t>backend</w:t>
            </w:r>
            <w:r>
              <w:rPr>
                <w:i w:val="0"/>
                <w:color w:val="000000"/>
                <w:sz w:val="20"/>
              </w:rPr>
              <w:t xml:space="preserve"> y en el diseño de bases de datos, la parte del </w:t>
            </w:r>
            <w:r>
              <w:rPr>
                <w:i/>
                <w:color w:val="000000"/>
                <w:sz w:val="20"/>
              </w:rPr>
              <w:t>software</w:t>
            </w:r>
            <w:r>
              <w:rPr>
                <w:i w:val="0"/>
                <w:color w:val="000000"/>
                <w:sz w:val="20"/>
              </w:rPr>
              <w:t xml:space="preserve"> que sostiene las reglas del negocio. Mira lo confirma: lo más exigente del proyecto no fue la interfaz, sino decidir que el estado de un equipo se deriva de su historial y garantizar que un arriendo, su cambio de estado y su movimiento se escriban juntos o no se escriban. El proyecto también me enfrentó a mis brechas declaradas en la Fase 1, las pruebas automatizadas y los contenedores, que aquí son parte de la definición de terminado y no algo opcional. Mis intereses se mantienen, con un matiz: el atraso de la Fase 2 me mostró que planificar y controlar es tan técnico como programar, y eso refuerza mi proyección hacia un rol de líder técnico, que sigue escribiendo código pero responde por la entrega del equipo.</w:t>
            </w:r>
          </w:p>
          <w:p>
            <w:pPr>
              <w:spacing w:after="80"/>
              <w:jc w:val="both"/>
            </w:pPr>
            <w:r>
              <w:rPr>
                <w:b/>
                <w:i w:val="0"/>
                <w:color w:val="000000"/>
                <w:sz w:val="20"/>
              </w:rPr>
              <w:t>Gonzalo Arenas.</w:t>
            </w:r>
            <w:r>
              <w:rPr>
                <w:i w:val="0"/>
                <w:color w:val="000000"/>
                <w:sz w:val="20"/>
              </w:rPr>
              <w:t xml:space="preserve"> Mis intereses están en el desarrollo web, en particular en la construcción de interfaces, y en el análisis de datos. En Mira asumí los controladores, las vistas, el panel de indicadores y el módulo documental, además de la documentación y las presentaciones. El panel es mi puerta de entrada al análisis de datos: convertir el historial de cada equipo en indicadores de utilización y de retornos vencidos exige entender cómo se registran los datos antes de presentarlos, y me obliga a fortalecer el modelado y las consultas complejas, que identifiqué como mi principal brecha. Provengo de la prevención de riesgos, y este proyecto consolida mi transición hacia el desarrollo de </w:t>
            </w:r>
            <w:r>
              <w:rPr>
                <w:i/>
                <w:color w:val="000000"/>
                <w:sz w:val="20"/>
              </w:rPr>
              <w:t>software</w:t>
            </w:r>
            <w:r>
              <w:rPr>
                <w:i w:val="0"/>
                <w:color w:val="000000"/>
                <w:sz w:val="20"/>
              </w:rPr>
              <w:t xml:space="preserve">; me proyecto como desarrollador </w:t>
            </w:r>
            <w:r>
              <w:rPr>
                <w:i/>
                <w:color w:val="000000"/>
                <w:sz w:val="20"/>
              </w:rPr>
              <w:t>frontend</w:t>
            </w:r>
            <w:r>
              <w:rPr>
                <w:i w:val="0"/>
                <w:color w:val="000000"/>
                <w:sz w:val="20"/>
              </w:rPr>
              <w:t xml:space="preserve"> en un equipo donde pueda seguir profundizando en datos.</w:t>
            </w:r>
          </w:p>
        </w:tc>
      </w:tr>
    </w:tbl>
    <w:p>
      <w:r>
        <w:rPr>
          <w:b/>
          <w:sz w:val="22"/>
        </w:rPr>
        <w:t>Referencias</w:t>
      </w:r>
    </w:p>
    <w:p>
      <w:pPr>
        <w:ind w:left="360" w:hanging="360"/>
      </w:pPr>
      <w:r>
        <w:rPr>
          <w:sz w:val="20"/>
        </w:rPr>
        <w:t>Pressman, R. S. (2010). Ingeniería del software: un enfoque práctico (7.ª ed.). McGraw-Hill.</w:t>
      </w:r>
    </w:p>
    <w:p>
      <w:pPr>
        <w:ind w:left="360" w:hanging="360"/>
      </w:pPr>
      <w:r>
        <w:rPr>
          <w:sz w:val="20"/>
        </w:rPr>
        <w:t>Schwaber, K. y Sutherland, J. (2020). La Guía de Scrum. https://scrumguides.org</w:t>
      </w:r>
    </w:p>
    <w:p>
      <w:pPr>
        <w:ind w:left="360" w:hanging="360"/>
      </w:pPr>
      <w:r>
        <w:rPr>
          <w:sz w:val="20"/>
        </w:rPr>
        <w:t>Sommerville, I. (2011). Ingeniería de software (9.ª ed.). Pearson Educación.</w:t>
      </w:r>
    </w:p>
    <w:p>
      <w:pPr>
        <w:ind w:left="360" w:hanging="360"/>
      </w:pPr>
      <w:r>
        <w:rPr>
          <w:sz w:val="20"/>
        </w:rPr>
        <w:t>Spring. (s. f.). Spring Boot Reference Documentation. https://docs.spring.io/spring-boot/index.html</w:t>
      </w:r>
    </w:p>
    <w:p>
      <w:pPr>
        <w:ind w:left="360" w:hanging="360"/>
      </w:pPr>
      <w:r>
        <w:rPr>
          <w:sz w:val="20"/>
        </w:rPr>
        <w:t>The PostgreSQL Global Development Group. (s. f.). PostgreSQL Documentation. https://www.postgresql.org/docs/</w:t>
      </w:r>
    </w:p>
    <w:p>
      <w:pPr>
        <w:ind w:left="360" w:hanging="360"/>
      </w:pPr>
      <w:r>
        <w:rPr>
          <w:sz w:val="20"/>
        </w:rPr>
        <w:t>OWASP Foundation. (2021). OWASP Top 10. https://owasp.org/Top10/</w:t>
      </w: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