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B0082"/>
          <w:sz w:val="40"/>
          <w:szCs w:val="40"/>
        </w:rPr>
        <w:t xml:space="preserve">Pfizer NPI Launch Control</w:t>
      </w:r>
    </w:p>
    <w:p>
      <w:pPr>
        <w:spacing w:after="200"/>
      </w:pPr>
      <w:r>
        <w:rPr>
          <w:color w:val="5A5A5A"/>
          <w:sz w:val="24"/>
          <w:szCs w:val="24"/>
        </w:rPr>
        <w:t xml:space="preserve">Live demo script · 10 minutes · one continuous path</w:t>
      </w:r>
    </w:p>
    <w:p>
      <w:pPr>
        <w:spacing w:after="130" w:line="300"/>
      </w:pPr>
      <w:r>
        <w:rPr>
          <w:i/>
          <w:iCs/>
          <w:sz w:val="22"/>
          <w:szCs w:val="22"/>
        </w:rPr>
        <w:t xml:space="preserve">George is an illustrative persona — a stand-in senior manager on the NPI team, not a character to perform. Speak as yourself: "let’s say I’m George for a minute." In the app George Hall is the signed-in user, so when the screen shows his name it is the same person you have been describing.</w:t>
      </w:r>
    </w:p>
    <w:p>
      <w:pPr>
        <w:spacing w:after="130" w:line="300"/>
      </w:pPr>
      <w:r>
        <w:rPr>
          <w:b/>
          <w:bCs/>
          <w:sz w:val="22"/>
          <w:szCs w:val="22"/>
        </w:rPr>
        <w:t xml:space="preserve">The path: </w:t>
      </w:r>
      <w:r>
        <w:rPr>
          <w:sz w:val="22"/>
          <w:szCs w:val="22"/>
        </w:rPr>
        <w:t xml:space="preserve">Home → Pipeline → Main KPIs → Portfolio → Berobenatide → Resolve → the action plan → Approve → Oversee plan → Dispatch and write → Milestone replan → Documents. No tab-hopping, no set-up between beats.</w:t>
      </w:r>
    </w:p>
    <w:p>
      <w:pPr>
        <w:spacing w:after="130" w:line="300"/>
      </w:pPr>
      <w:r>
        <w:rPr>
          <w:b/>
          <w:bCs/>
          <w:sz w:val="22"/>
          <w:szCs w:val="22"/>
        </w:rPr>
        <w:t xml:space="preserve">The three things to land: </w:t>
      </w:r>
      <w:r>
        <w:rPr>
          <w:sz w:val="22"/>
          <w:szCs w:val="22"/>
        </w:rPr>
        <w:t xml:space="preserve">the work used to be chasing, and now it arrives already done; every action is orchestrated by a named agent inside a guardrail; and approving a decision </w:t>
      </w:r>
      <w:r>
        <w:rPr>
          <w:b/>
          <w:bCs/>
          <w:sz w:val="22"/>
          <w:szCs w:val="22"/>
        </w:rPr>
        <w:t xml:space="preserve">writes back</w:t>
      </w:r>
      <w:r>
        <w:rPr>
          <w:sz w:val="22"/>
          <w:szCs w:val="22"/>
        </w:rPr>
        <w:t xml:space="preserve"> into the systems of record — it is not a dashboard telling you to go and fix something somewhere else.</w:t>
      </w:r>
    </w:p>
    <w:p>
      <w:pPr>
        <w:shd w:fill="FDECEA" w:val="clear"/>
        <w:spacing w:after="120" w:before="100"/>
        <w:ind w:left="120"/>
      </w:pPr>
      <w:r>
        <w:rPr>
          <w:b/>
          <w:bCs/>
          <w:color w:val="B3261E"/>
          <w:sz w:val="19"/>
          <w:szCs w:val="19"/>
        </w:rPr>
        <w:t xml:space="preserve">If a number on screen differs from a number in this script, the screen wins. Say what you can see.</w:t>
      </w:r>
    </w:p>
    <w:p>
      <w:pPr>
        <w:pStyle w:val="Heading1"/>
        <w:spacing w:after="160" w:before="360"/>
      </w:pPr>
      <w:r>
        <w:rPr>
          <w:b/>
          <w:bCs/>
          <w:color w:val="4B0082"/>
          <w:sz w:val="30"/>
          <w:szCs w:val="30"/>
        </w:rPr>
        <w:t xml:space="preserve">Before you start</w:t>
      </w:r>
    </w:p>
    <w:p>
      <w:pPr>
        <w:shd w:fill="FDECEA" w:val="clear"/>
        <w:spacing w:after="120" w:before="100"/>
        <w:ind w:left="120"/>
      </w:pPr>
      <w:r>
        <w:rPr>
          <w:b/>
          <w:bCs/>
          <w:color w:val="B3261E"/>
          <w:sz w:val="19"/>
          <w:szCs w:val="19"/>
        </w:rPr>
        <w:t xml:space="preserve">Seed data must be loaded into the C3 environment first (upsertSeedData). If the Workflow board shows “0 activities” or Berobenatide still sits in P4, the load has not run and the demo will contradict this script.</w:t>
      </w:r>
    </w:p>
    <w:p>
      <w:pPr>
        <w:pStyle w:val="ListParagraph"/>
        <w:numPr>
          <w:ilvl w:val="0"/>
          <w:numId w:val="2"/>
        </w:numPr>
        <w:spacing w:after="80"/>
      </w:pPr>
      <w:r>
        <w:rPr>
          <w:b/>
          <w:bCs/>
          <w:sz w:val="22"/>
          <w:szCs w:val="22"/>
        </w:rPr>
        <w:t xml:space="preserve">Reset first. </w:t>
      </w:r>
      <w:r>
        <w:rPr>
          <w:sz w:val="21"/>
          <w:szCs w:val="21"/>
        </w:rPr>
        <w:t xml:space="preserve">Reset demo, top right of the landing page. If you have clicked through already, NPI-0417 shows as approved and you lose the best beat in the session.</w:t>
      </w:r>
    </w:p>
    <w:p>
      <w:pPr>
        <w:pStyle w:val="ListParagraph"/>
        <w:numPr>
          <w:ilvl w:val="0"/>
          <w:numId w:val="2"/>
        </w:numPr>
        <w:spacing w:after="80"/>
      </w:pPr>
      <w:r>
        <w:rPr>
          <w:b/>
          <w:bCs/>
          <w:sz w:val="22"/>
          <w:szCs w:val="22"/>
        </w:rPr>
        <w:t xml:space="preserve">Do not refresh mid-demo. </w:t>
      </w:r>
      <w:r>
        <w:rPr>
          <w:sz w:val="21"/>
          <w:szCs w:val="21"/>
        </w:rPr>
        <w:t xml:space="preserve">A reload rewinds every decision to baseline — you lose any option you approved and any action you ran.</w:t>
      </w:r>
    </w:p>
    <w:p>
      <w:pPr>
        <w:pStyle w:val="ListParagraph"/>
        <w:numPr>
          <w:ilvl w:val="0"/>
          <w:numId w:val="2"/>
        </w:numPr>
        <w:spacing w:after="80"/>
      </w:pPr>
      <w:r>
        <w:rPr>
          <w:b/>
          <w:bCs/>
          <w:sz w:val="22"/>
          <w:szCs w:val="22"/>
        </w:rPr>
        <w:t xml:space="preserve">Full screen, already loaded </w:t>
      </w:r>
      <w:r>
        <w:rPr>
          <w:sz w:val="21"/>
          <w:szCs w:val="21"/>
        </w:rPr>
        <w:t xml:space="preserve">on the landing page ("Hi, George"). That is the only tab you need.</w:t>
      </w:r>
    </w:p>
    <w:p>
      <w:pPr>
        <w:pStyle w:val="ListParagraph"/>
        <w:numPr>
          <w:ilvl w:val="0"/>
          <w:numId w:val="2"/>
        </w:numPr>
        <w:spacing w:after="80"/>
      </w:pPr>
      <w:r>
        <w:rPr>
          <w:b/>
          <w:bCs/>
          <w:sz w:val="22"/>
          <w:szCs w:val="22"/>
        </w:rPr>
        <w:t xml:space="preserve">Say once, early: </w:t>
      </w:r>
      <w:r>
        <w:rPr>
          <w:sz w:val="21"/>
          <w:szCs w:val="21"/>
        </w:rPr>
        <w:t xml:space="preserve">"All the data here is illustrative — this environment was built for today."</w:t>
      </w:r>
    </w:p>
    <w:p>
      <w:pPr>
        <w:pStyle w:val="ListParagraph"/>
        <w:numPr>
          <w:ilvl w:val="0"/>
          <w:numId w:val="2"/>
        </w:numPr>
        <w:spacing w:after="80"/>
      </w:pPr>
      <w:r>
        <w:rPr>
          <w:sz w:val="21"/>
          <w:szCs w:val="21"/>
        </w:rPr>
        <w:t xml:space="preserve">Do one dry run on the actual demo laptop, and read the Traps page at the back first — three of them will otherwise bite you live.</w:t>
      </w:r>
    </w:p>
    <w:p>
      <w:r>
        <w:br w:type="page"/>
      </w:r>
    </w:p>
    <w:p>
      <w:pPr>
        <w:pStyle w:val="Heading1"/>
        <w:spacing w:after="160" w:before="360"/>
      </w:pPr>
      <w:r>
        <w:rPr>
          <w:b/>
          <w:bCs/>
          <w:color w:val="4B0082"/>
          <w:sz w:val="30"/>
          <w:szCs w:val="30"/>
        </w:rPr>
        <w:t xml:space="preserve">The walkthrough</w:t>
      </w:r>
    </w:p>
    <w:p>
      <w:pPr>
        <w:pStyle w:val="Heading2"/>
        <w:spacing w:after="120" w:before="300"/>
      </w:pPr>
      <w:r>
        <w:rPr>
          <w:b/>
          <w:bCs/>
          <w:color w:val="4B0082"/>
          <w:sz w:val="25"/>
          <w:szCs w:val="25"/>
        </w:rPr>
        <w:t xml:space="preserve">0:00 — The way this used to work</w:t>
      </w:r>
    </w:p>
    <w:p>
      <w:pPr>
        <w:spacing w:after="120"/>
      </w:pPr>
      <w:r>
        <w:rPr>
          <w:i/>
          <w:iCs/>
          <w:color w:val="5A5A5A"/>
          <w:sz w:val="19"/>
          <w:szCs w:val="19"/>
        </w:rPr>
        <w:t xml:space="preserve">▸ Slides behind you, nothing on screen yet. Do not rush this — it is the contrast the whole demo depends on.</w:t>
      </w:r>
    </w:p>
    <w:p>
      <w:pPr>
        <w:spacing w:after="130" w:line="300"/>
      </w:pPr>
      <w:r>
        <w:rPr>
          <w:sz w:val="22"/>
          <w:szCs w:val="22"/>
        </w:rPr>
        <w:t xml:space="preserve">Let me put us in someone’s shoes. Call him George, a senior manager on the NPI team. His job is taking a new medicine from "approved to launch" to the first batch on a hospital shelf. Nine phases, eight gates, and every function lands on his desk at some point.</w:t>
      </w:r>
    </w:p>
    <w:p>
      <w:pPr>
        <w:spacing w:after="130" w:line="300"/>
      </w:pPr>
      <w:r>
        <w:rPr>
          <w:sz w:val="22"/>
          <w:szCs w:val="22"/>
        </w:rPr>
        <w:t xml:space="preserve">Here is what his week actually looked like. Very little of it was judgment. It was </w:t>
      </w:r>
      <w:r>
        <w:rPr>
          <w:b/>
          <w:bCs/>
          <w:sz w:val="22"/>
          <w:szCs w:val="22"/>
        </w:rPr>
        <w:t xml:space="preserve">chasing</w:t>
      </w:r>
      <w:r>
        <w:rPr>
          <w:sz w:val="22"/>
          <w:szCs w:val="22"/>
        </w:rPr>
        <w:t xml:space="preserve">. Pinging Puurs for a batch status. Asking Regulatory whether a dossier section had moved. Rebuilding a spreadsheet because three teams each had a plan and none of them matched.</w:t>
      </w:r>
    </w:p>
    <w:p>
      <w:pPr>
        <w:spacing w:after="130" w:line="300"/>
      </w:pPr>
      <w:r>
        <w:rPr>
          <w:sz w:val="22"/>
          <w:szCs w:val="22"/>
        </w:rPr>
        <w:t xml:space="preserve">And by the time reconciliation surfaced a problem, it was three weeks old. He was not preventing delays. He was </w:t>
      </w:r>
      <w:r>
        <w:rPr>
          <w:b/>
          <w:bCs/>
          <w:sz w:val="22"/>
          <w:szCs w:val="22"/>
        </w:rPr>
        <w:t xml:space="preserve">reporting</w:t>
      </w:r>
      <w:r>
        <w:rPr>
          <w:sz w:val="22"/>
          <w:szCs w:val="22"/>
        </w:rPr>
        <w:t xml:space="preserve"> them.</w:t>
      </w:r>
    </w:p>
    <w:p>
      <w:pPr>
        <w:spacing w:after="130" w:line="300"/>
      </w:pPr>
      <w:r>
        <w:rPr>
          <w:sz w:val="22"/>
          <w:szCs w:val="22"/>
        </w:rPr>
        <w:t xml:space="preserve">So hold one question for the next ten minutes: who did the work, and when did it happen?</w:t>
      </w:r>
    </w:p>
    <w:p>
      <w:pPr>
        <w:pStyle w:val="Heading2"/>
        <w:spacing w:after="120" w:before="300"/>
      </w:pPr>
      <w:r>
        <w:rPr>
          <w:b/>
          <w:bCs/>
          <w:color w:val="4B0082"/>
          <w:sz w:val="25"/>
          <w:szCs w:val="25"/>
        </w:rPr>
        <w:t xml:space="preserve">0:50 — Home</w:t>
      </w:r>
    </w:p>
    <w:p>
      <w:pPr>
        <w:pBdr>
          <w:left w:val="single" w:color="4B0082" w:sz="18" w:space="8"/>
        </w:pBdr>
        <w:shd w:fill="EFEAF6" w:val="clear"/>
        <w:spacing w:after="100" w:before="120"/>
        <w:ind w:left="120"/>
      </w:pPr>
      <w:r>
        <w:rPr>
          <w:b/>
          <w:bCs/>
          <w:i/>
          <w:iCs/>
          <w:color w:val="4B0082"/>
          <w:sz w:val="19"/>
          <w:szCs w:val="19"/>
        </w:rPr>
        <w:t xml:space="preserve">Home — "Hi, George", three option cards, right-hand rail</w:t>
      </w:r>
    </w:p>
    <w:p>
      <w:pPr>
        <w:spacing w:after="130" w:line="300"/>
      </w:pPr>
      <w:r>
        <w:rPr>
          <w:sz w:val="22"/>
          <w:szCs w:val="22"/>
        </w:rPr>
        <w:t xml:space="preserve">Three ways into the same process. Do not read the cards out — look at the rail: </w:t>
      </w:r>
      <w:r>
        <w:rPr>
          <w:b/>
          <w:bCs/>
          <w:sz w:val="22"/>
          <w:szCs w:val="22"/>
        </w:rPr>
        <w:t xml:space="preserve">My Tasks 4</w:t>
      </w:r>
      <w:r>
        <w:rPr>
          <w:sz w:val="22"/>
          <w:szCs w:val="22"/>
        </w:rPr>
        <w:t xml:space="preserve">, </w:t>
      </w:r>
      <w:r>
        <w:rPr>
          <w:b/>
          <w:bCs/>
          <w:sz w:val="22"/>
          <w:szCs w:val="22"/>
        </w:rPr>
        <w:t xml:space="preserve">Recent Activity 31</w:t>
      </w:r>
      <w:r>
        <w:rPr>
          <w:sz w:val="22"/>
          <w:szCs w:val="22"/>
        </w:rPr>
        <w:t xml:space="preserve">.</w:t>
      </w:r>
    </w:p>
    <w:p>
      <w:pPr>
        <w:spacing w:after="130" w:line="300"/>
      </w:pPr>
      <w:r>
        <w:rPr>
          <w:sz w:val="22"/>
          <w:szCs w:val="22"/>
        </w:rPr>
        <w:t xml:space="preserve">Nobody logs in to admire a dashboard. Four things are waiting on George personally this morning, and the tool already knows which four. We will end up inside one of them.</w:t>
      </w:r>
    </w:p>
    <w:p>
      <w:pPr>
        <w:pBdr>
          <w:left w:val="single" w:color="4B0082" w:sz="18" w:space="8"/>
        </w:pBdr>
        <w:shd w:fill="EFEAF6" w:val="clear"/>
        <w:spacing w:after="100" w:before="120"/>
        <w:ind w:left="120"/>
      </w:pPr>
      <w:r>
        <w:rPr>
          <w:b/>
          <w:bCs/>
          <w:i/>
          <w:iCs/>
          <w:color w:val="4B0082"/>
          <w:sz w:val="19"/>
          <w:szCs w:val="19"/>
        </w:rPr>
        <w:t xml:space="preserve">Click Pipeline Status</w:t>
      </w:r>
    </w:p>
    <w:p>
      <w:pPr>
        <w:pStyle w:val="Heading2"/>
        <w:spacing w:after="120" w:before="300"/>
      </w:pPr>
      <w:r>
        <w:rPr>
          <w:b/>
          <w:bCs/>
          <w:color w:val="4B0082"/>
          <w:sz w:val="25"/>
          <w:szCs w:val="25"/>
        </w:rPr>
        <w:t xml:space="preserve">1:20 — Main KPIs</w:t>
      </w:r>
    </w:p>
    <w:p>
      <w:pPr>
        <w:pBdr>
          <w:left w:val="single" w:color="4B0082" w:sz="18" w:space="8"/>
        </w:pBdr>
        <w:shd w:fill="EFEAF6" w:val="clear"/>
        <w:spacing w:after="100" w:before="120"/>
        <w:ind w:left="120"/>
      </w:pPr>
      <w:r>
        <w:rPr>
          <w:b/>
          <w:bCs/>
          <w:i/>
          <w:iCs/>
          <w:color w:val="4B0082"/>
          <w:sz w:val="19"/>
          <w:szCs w:val="19"/>
        </w:rPr>
        <w:t xml:space="preserve">Cockpit — the four tiles, then the recovery panel underneath</w:t>
      </w:r>
    </w:p>
    <w:p>
      <w:pPr>
        <w:spacing w:after="120"/>
      </w:pPr>
      <w:r>
        <w:rPr>
          <w:i/>
          <w:iCs/>
          <w:color w:val="5A5A5A"/>
          <w:sz w:val="19"/>
          <w:szCs w:val="19"/>
        </w:rPr>
        <w:t xml:space="preserve">▸ Computed live from the model. Glance and read the real figures — do not recite from here.</w:t>
      </w:r>
    </w:p>
    <w:p>
      <w:pPr>
        <w:spacing w:after="130" w:line="300"/>
      </w:pPr>
      <w:r>
        <w:rPr>
          <w:b/>
          <w:bCs/>
          <w:sz w:val="22"/>
          <w:szCs w:val="22"/>
        </w:rPr>
        <w:t xml:space="preserve">Gate readiness</w:t>
      </w:r>
      <w:r>
        <w:rPr>
          <w:sz w:val="22"/>
          <w:szCs w:val="22"/>
        </w:rPr>
        <w:t xml:space="preserve"> against an 85% target. </w:t>
      </w:r>
      <w:r>
        <w:rPr>
          <w:b/>
          <w:bCs/>
          <w:sz w:val="22"/>
          <w:szCs w:val="22"/>
        </w:rPr>
        <w:t xml:space="preserve">Launch health</w:t>
      </w:r>
      <w:r>
        <w:rPr>
          <w:sz w:val="22"/>
          <w:szCs w:val="22"/>
        </w:rPr>
        <w:t xml:space="preserve"> — and it </w:t>
      </w:r>
      <w:r>
        <w:rPr>
          <w:i/>
          <w:iCs/>
          <w:sz w:val="22"/>
          <w:szCs w:val="22"/>
        </w:rPr>
        <w:t xml:space="preserve">names</w:t>
      </w:r>
      <w:r>
        <w:rPr>
          <w:sz w:val="22"/>
          <w:szCs w:val="22"/>
        </w:rPr>
        <w:t xml:space="preserve"> the off-track one: Berobenatide. </w:t>
      </w:r>
      <w:r>
        <w:rPr>
          <w:b/>
          <w:bCs/>
          <w:sz w:val="22"/>
          <w:szCs w:val="22"/>
        </w:rPr>
        <w:t xml:space="preserve">Revenue exposed</w:t>
      </w:r>
      <w:r>
        <w:rPr>
          <w:sz w:val="22"/>
          <w:szCs w:val="22"/>
        </w:rPr>
        <w:t xml:space="preserve">, and how much sits in that one launch. </w:t>
      </w:r>
      <w:r>
        <w:rPr>
          <w:b/>
          <w:bCs/>
          <w:sz w:val="22"/>
          <w:szCs w:val="22"/>
        </w:rPr>
        <w:t xml:space="preserve">Schedule discipline</w:t>
      </w:r>
      <w:r>
        <w:rPr>
          <w:sz w:val="22"/>
          <w:szCs w:val="22"/>
        </w:rPr>
        <w:t xml:space="preserve"> — worst slip, 47 days.</w:t>
      </w:r>
    </w:p>
    <w:p>
      <w:pPr>
        <w:spacing w:after="130" w:line="300"/>
      </w:pPr>
      <w:r>
        <w:rPr>
          <w:sz w:val="22"/>
          <w:szCs w:val="22"/>
        </w:rPr>
        <w:t xml:space="preserve">None of those was assembled by a person. That is the first shift: not a status pack someone spent Thursday building, but derived the moment you open it.</w:t>
      </w:r>
    </w:p>
    <w:p>
      <w:pPr>
        <w:pBdr>
          <w:left w:val="single" w:color="4B0082" w:sz="18" w:space="8"/>
        </w:pBdr>
        <w:shd w:fill="EFEAF6" w:val="clear"/>
        <w:spacing w:after="100" w:before="120"/>
        <w:ind w:left="120"/>
      </w:pPr>
      <w:r>
        <w:rPr>
          <w:b/>
          <w:bCs/>
          <w:i/>
          <w:iCs/>
          <w:color w:val="4B0082"/>
          <w:sz w:val="19"/>
          <w:szCs w:val="19"/>
        </w:rPr>
        <w:t xml:space="preserve">Slow down for "Where you can recover schedule time"</w:t>
      </w:r>
    </w:p>
    <w:p>
      <w:pPr>
        <w:spacing w:after="130" w:line="300"/>
      </w:pPr>
      <w:r>
        <w:rPr>
          <w:sz w:val="22"/>
          <w:szCs w:val="22"/>
        </w:rPr>
        <w:t xml:space="preserve">This is the one nobody else shows you. Days at stake, split in two: </w:t>
      </w:r>
      <w:r>
        <w:rPr>
          <w:b/>
          <w:bCs/>
          <w:sz w:val="22"/>
          <w:szCs w:val="22"/>
        </w:rPr>
        <w:t xml:space="preserve">recoverable by acting</w:t>
      </w:r>
      <w:r>
        <w:rPr>
          <w:sz w:val="22"/>
          <w:szCs w:val="22"/>
        </w:rPr>
        <w:t xml:space="preserve">, and </w:t>
      </w:r>
      <w:r>
        <w:rPr>
          <w:b/>
          <w:bCs/>
          <w:sz w:val="22"/>
          <w:szCs w:val="22"/>
        </w:rPr>
        <w:t xml:space="preserve">waiting on an authority</w:t>
      </w:r>
      <w:r>
        <w:rPr>
          <w:sz w:val="22"/>
          <w:szCs w:val="22"/>
        </w:rPr>
        <w:t xml:space="preserve">.</w:t>
      </w:r>
    </w:p>
    <w:p>
      <w:pPr>
        <w:spacing w:after="130" w:line="300"/>
      </w:pPr>
      <w:r>
        <w:rPr>
          <w:sz w:val="22"/>
          <w:szCs w:val="22"/>
        </w:rPr>
        <w:t xml:space="preserve">That grey is not failure. It is a regulator’s clock, and no escalation moves it. Most portfolio reviews spend their energy on the grey. This tells George where the green is.</w:t>
      </w:r>
    </w:p>
    <w:p>
      <w:pPr>
        <w:pBdr>
          <w:left w:val="single" w:color="4B0082" w:sz="18" w:space="8"/>
        </w:pBdr>
        <w:shd w:fill="EFEAF6" w:val="clear"/>
        <w:spacing w:after="100" w:before="120"/>
        <w:ind w:left="120"/>
      </w:pPr>
      <w:r>
        <w:rPr>
          <w:b/>
          <w:bCs/>
          <w:i/>
          <w:iCs/>
          <w:color w:val="4B0082"/>
          <w:sz w:val="19"/>
          <w:szCs w:val="19"/>
        </w:rPr>
        <w:t xml:space="preserve">Click Portfolio</w:t>
      </w:r>
    </w:p>
    <w:p>
      <w:pPr>
        <w:pStyle w:val="Heading2"/>
        <w:spacing w:after="120" w:before="300"/>
      </w:pPr>
      <w:r>
        <w:rPr>
          <w:b/>
          <w:bCs/>
          <w:color w:val="4B0082"/>
          <w:sz w:val="25"/>
          <w:szCs w:val="25"/>
        </w:rPr>
        <w:t xml:space="preserve">2:40 — Portfolio</w:t>
      </w:r>
    </w:p>
    <w:p>
      <w:pPr>
        <w:pBdr>
          <w:left w:val="single" w:color="4B0082" w:sz="18" w:space="8"/>
        </w:pBdr>
        <w:shd w:fill="EFEAF6" w:val="clear"/>
        <w:spacing w:after="100" w:before="120"/>
        <w:ind w:left="120"/>
      </w:pPr>
      <w:r>
        <w:rPr>
          <w:b/>
          <w:bCs/>
          <w:i/>
          <w:iCs/>
          <w:color w:val="4B0082"/>
          <w:sz w:val="19"/>
          <w:szCs w:val="19"/>
        </w:rPr>
        <w:t xml:space="preserve">Portfolio → Product lens</w:t>
      </w:r>
    </w:p>
    <w:p>
      <w:pPr>
        <w:spacing w:after="130" w:line="300"/>
      </w:pPr>
      <w:r>
        <w:rPr>
          <w:sz w:val="22"/>
          <w:szCs w:val="22"/>
        </w:rPr>
        <w:t xml:space="preserve">Every launch on the same nine-phase ladder. Berobenatide is top and red — </w:t>
      </w:r>
      <w:r>
        <w:rPr>
          <w:b/>
          <w:bCs/>
          <w:sz w:val="22"/>
          <w:szCs w:val="22"/>
        </w:rPr>
        <w:t xml:space="preserve">P3, Drug Substance readiness</w:t>
      </w:r>
      <w:r>
        <w:rPr>
          <w:sz w:val="22"/>
          <w:szCs w:val="22"/>
        </w:rPr>
        <w:t xml:space="preserve">, red diamond on </w:t>
      </w:r>
      <w:r>
        <w:rPr>
          <w:b/>
          <w:bCs/>
          <w:sz w:val="22"/>
          <w:szCs w:val="22"/>
        </w:rPr>
        <w:t xml:space="preserve">G3</w:t>
      </w:r>
      <w:r>
        <w:rPr>
          <w:sz w:val="22"/>
          <w:szCs w:val="22"/>
        </w:rPr>
        <w:t xml:space="preserve">, </w:t>
      </w:r>
      <w:r>
        <w:rPr>
          <w:b/>
          <w:bCs/>
          <w:sz w:val="22"/>
          <w:szCs w:val="22"/>
        </w:rPr>
        <w:t xml:space="preserve">+47 days</w:t>
      </w:r>
      <w:r>
        <w:rPr>
          <w:sz w:val="22"/>
          <w:szCs w:val="22"/>
        </w:rPr>
        <w:t xml:space="preserve">.</w:t>
      </w:r>
    </w:p>
    <w:p>
      <w:pPr>
        <w:spacing w:after="130" w:line="300"/>
      </w:pPr>
      <w:r>
        <w:rPr>
          <w:sz w:val="22"/>
          <w:szCs w:val="22"/>
        </w:rPr>
        <w:t xml:space="preserve">Nobody is reformatting this for a steering committee on Thursday. This is the steering committee pack, and it is current.</w:t>
      </w:r>
    </w:p>
    <w:p>
      <w:pPr>
        <w:pBdr>
          <w:left w:val="single" w:color="4B0082" w:sz="18" w:space="8"/>
        </w:pBdr>
        <w:shd w:fill="EFEAF6" w:val="clear"/>
        <w:spacing w:after="100" w:before="120"/>
        <w:ind w:left="120"/>
      </w:pPr>
      <w:r>
        <w:rPr>
          <w:b/>
          <w:bCs/>
          <w:i/>
          <w:iCs/>
          <w:color w:val="4B0082"/>
          <w:sz w:val="19"/>
          <w:szCs w:val="19"/>
        </w:rPr>
        <w:t xml:space="preserve">Click Open on the Berobenatide row</w:t>
      </w:r>
    </w:p>
    <w:p>
      <w:pPr>
        <w:pStyle w:val="Heading2"/>
        <w:spacing w:after="120" w:before="300"/>
      </w:pPr>
      <w:r>
        <w:rPr>
          <w:b/>
          <w:bCs/>
          <w:color w:val="4B0082"/>
          <w:sz w:val="25"/>
          <w:szCs w:val="25"/>
        </w:rPr>
        <w:t xml:space="preserve">3:20 — Inside the launch: the criterion that is blocking it</w:t>
      </w:r>
    </w:p>
    <w:p>
      <w:pPr>
        <w:pBdr>
          <w:left w:val="single" w:color="4B0082" w:sz="18" w:space="8"/>
        </w:pBdr>
        <w:shd w:fill="EFEAF6" w:val="clear"/>
        <w:spacing w:after="100" w:before="120"/>
        <w:ind w:left="120"/>
      </w:pPr>
      <w:r>
        <w:rPr>
          <w:b/>
          <w:bCs/>
          <w:i/>
          <w:iCs/>
          <w:color w:val="4B0082"/>
          <w:sz w:val="19"/>
          <w:szCs w:val="19"/>
        </w:rPr>
        <w:t xml:space="preserve">Berobenatide → Overview, then scroll to Gate readiness</w:t>
      </w:r>
    </w:p>
    <w:p>
      <w:pPr>
        <w:spacing w:after="130" w:line="300"/>
      </w:pPr>
      <w:r>
        <w:rPr>
          <w:b/>
          <w:bCs/>
          <w:sz w:val="22"/>
          <w:szCs w:val="22"/>
        </w:rPr>
        <w:t xml:space="preserve">P3</w:t>
      </w:r>
      <w:r>
        <w:rPr>
          <w:sz w:val="22"/>
          <w:szCs w:val="22"/>
        </w:rPr>
        <w:t xml:space="preserve"> current phase, </w:t>
      </w:r>
      <w:r>
        <w:rPr>
          <w:b/>
          <w:bCs/>
          <w:sz w:val="22"/>
          <w:szCs w:val="22"/>
        </w:rPr>
        <w:t xml:space="preserve">G3 — DS Released</w:t>
      </w:r>
      <w:r>
        <w:rPr>
          <w:sz w:val="22"/>
          <w:szCs w:val="22"/>
        </w:rPr>
        <w:t xml:space="preserve"> next gate, +47 days. €21.2M at risk of a €96M launch.</w:t>
      </w:r>
    </w:p>
    <w:p>
      <w:pPr>
        <w:spacing w:after="130" w:line="300"/>
      </w:pPr>
      <w:r>
        <w:rPr>
          <w:b/>
          <w:bCs/>
          <w:sz w:val="22"/>
          <w:szCs w:val="22"/>
        </w:rPr>
        <w:t xml:space="preserve">Six of seven criteria met.</w:t>
      </w:r>
      <w:r>
        <w:rPr>
          <w:sz w:val="22"/>
          <w:szCs w:val="22"/>
        </w:rPr>
        <w:t xml:space="preserve"> One is open, and it is the entire story: </w:t>
      </w:r>
      <w:r>
        <w:rPr>
          <w:b/>
          <w:bCs/>
          <w:sz w:val="22"/>
          <w:szCs w:val="22"/>
        </w:rPr>
        <w:t xml:space="preserve">DS received at DP site</w:t>
      </w:r>
      <w:r>
        <w:rPr>
          <w:sz w:val="22"/>
          <w:szCs w:val="22"/>
        </w:rPr>
        <w:t xml:space="preserve"> — the aseptic fill-finish slot at Vetter Ravensburg was cancelled, so the shipment to the drug-product site is not booked.</w:t>
      </w:r>
    </w:p>
    <w:p>
      <w:pPr>
        <w:spacing w:after="130" w:line="300"/>
      </w:pPr>
      <w:r>
        <w:rPr>
          <w:sz w:val="22"/>
          <w:szCs w:val="22"/>
        </w:rPr>
        <w:t xml:space="preserve">That is the whole difference, in one row. Not a RAG status somebody argued about in a meeting — </w:t>
      </w:r>
      <w:r>
        <w:rPr>
          <w:b/>
          <w:bCs/>
          <w:sz w:val="22"/>
          <w:szCs w:val="22"/>
        </w:rPr>
        <w:t xml:space="preserve">one named criterion</w:t>
      </w:r>
      <w:r>
        <w:rPr>
          <w:sz w:val="22"/>
          <w:szCs w:val="22"/>
        </w:rPr>
        <w:t xml:space="preserve">, unmet, with the reason attached and the action sitting on it.</w:t>
      </w:r>
    </w:p>
    <w:p>
      <w:pPr>
        <w:spacing w:after="130" w:line="300"/>
      </w:pPr>
      <w:r>
        <w:rPr>
          <w:sz w:val="22"/>
          <w:szCs w:val="22"/>
        </w:rPr>
        <w:t xml:space="preserve">Under the old way, this is where George starts writing emails. Watch what happens instead.</w:t>
      </w:r>
    </w:p>
    <w:p>
      <w:pPr>
        <w:pBdr>
          <w:left w:val="single" w:color="4B0082" w:sz="18" w:space="8"/>
        </w:pBdr>
        <w:shd w:fill="EFEAF6" w:val="clear"/>
        <w:spacing w:after="100" w:before="120"/>
        <w:ind w:left="120"/>
      </w:pPr>
      <w:r>
        <w:rPr>
          <w:b/>
          <w:bCs/>
          <w:i/>
          <w:iCs/>
          <w:color w:val="4B0082"/>
          <w:sz w:val="19"/>
          <w:szCs w:val="19"/>
        </w:rPr>
        <w:t xml:space="preserve">Click Resolve on the blocked criterion row</w:t>
      </w:r>
    </w:p>
    <w:p>
      <w:pPr>
        <w:pStyle w:val="Heading2"/>
        <w:spacing w:after="120" w:before="300"/>
      </w:pPr>
      <w:r>
        <w:rPr>
          <w:b/>
          <w:bCs/>
          <w:color w:val="4B0082"/>
          <w:sz w:val="25"/>
          <w:szCs w:val="25"/>
        </w:rPr>
        <w:t xml:space="preserve">4:20 — The signal arrived already worked up</w:t>
      </w:r>
    </w:p>
    <w:p>
      <w:pPr>
        <w:pBdr>
          <w:left w:val="single" w:color="4B0082" w:sz="18" w:space="8"/>
        </w:pBdr>
        <w:shd w:fill="EFEAF6" w:val="clear"/>
        <w:spacing w:after="100" w:before="120"/>
        <w:ind w:left="120"/>
      </w:pPr>
      <w:r>
        <w:rPr>
          <w:b/>
          <w:bCs/>
          <w:i/>
          <w:iCs/>
          <w:color w:val="4B0082"/>
          <w:sz w:val="19"/>
          <w:szCs w:val="19"/>
        </w:rPr>
        <w:t xml:space="preserve">Resolution workspace — NPI-0417, "Dual-source to Siegfried?"</w:t>
      </w:r>
    </w:p>
    <w:p>
      <w:pPr>
        <w:spacing w:after="130" w:line="300"/>
      </w:pPr>
      <w:r>
        <w:rPr>
          <w:sz w:val="22"/>
          <w:szCs w:val="22"/>
        </w:rPr>
        <w:t xml:space="preserve">Berobenatide, P3. Blocking a gate. Raised 10 September at 19:40 — and look </w:t>
      </w:r>
      <w:r>
        <w:rPr>
          <w:b/>
          <w:bCs/>
          <w:sz w:val="22"/>
          <w:szCs w:val="22"/>
        </w:rPr>
        <w:t xml:space="preserve">who by: the Quality agent</w:t>
      </w:r>
      <w:r>
        <w:rPr>
          <w:sz w:val="22"/>
          <w:szCs w:val="22"/>
        </w:rPr>
        <w:t xml:space="preserve">. Not a person. Decide by today at 17:00. €18.4M exposed. The aseptic fill-finish PPQ slot has been cancelled — that is the validation lot, not a routine batch.</w:t>
      </w:r>
    </w:p>
    <w:p>
      <w:pPr>
        <w:pBdr>
          <w:left w:val="single" w:color="4B0082" w:sz="18" w:space="8"/>
        </w:pBdr>
        <w:shd w:fill="EFEAF6" w:val="clear"/>
        <w:spacing w:after="100" w:before="120"/>
        <w:ind w:left="120"/>
      </w:pPr>
      <w:r>
        <w:rPr>
          <w:b/>
          <w:bCs/>
          <w:i/>
          <w:iCs/>
          <w:color w:val="4B0082"/>
          <w:sz w:val="19"/>
          <w:szCs w:val="19"/>
        </w:rPr>
        <w:t xml:space="preserve">The escalation thread — "4 entries · 3 functions · 1 agent"</w:t>
      </w:r>
    </w:p>
    <w:p>
      <w:pPr>
        <w:spacing w:after="130" w:line="300"/>
      </w:pPr>
      <w:r>
        <w:rPr>
          <w:b/>
          <w:bCs/>
          <w:sz w:val="22"/>
          <w:szCs w:val="22"/>
        </w:rPr>
        <w:t xml:space="preserve">Okafor, Sourcing</w:t>
      </w:r>
      <w:r>
        <w:rPr>
          <w:sz w:val="22"/>
          <w:szCs w:val="22"/>
        </w:rPr>
        <w:t xml:space="preserve">, the evening it happened. Vetter cancelled the 12 October slot — a genuine line deviation, nothing earlier anywhere.</w:t>
      </w:r>
    </w:p>
    <w:p>
      <w:pPr>
        <w:spacing w:after="130" w:line="300"/>
      </w:pPr>
      <w:r>
        <w:rPr>
          <w:b/>
          <w:bCs/>
          <w:sz w:val="22"/>
          <w:szCs w:val="22"/>
        </w:rPr>
        <w:t xml:space="preserve">Then overnight, just after six — the Sourcing agent.</w:t>
      </w:r>
      <w:r>
        <w:rPr>
          <w:sz w:val="22"/>
          <w:szCs w:val="22"/>
        </w:rPr>
        <w:t xml:space="preserve"> It read the master agreement: non-committed reservation, clause 7.3 permits reallocation on 30 days’ notice, so </w:t>
      </w:r>
      <w:r>
        <w:rPr>
          <w:b/>
          <w:bCs/>
          <w:sz w:val="22"/>
          <w:szCs w:val="22"/>
        </w:rPr>
        <w:t xml:space="preserve">no claim and no penalty</w:t>
      </w:r>
      <w:r>
        <w:rPr>
          <w:sz w:val="22"/>
          <w:szCs w:val="22"/>
        </w:rPr>
        <w:t xml:space="preserve">. Then it searched the Approved Supplier List: Siegfried Hameln, approved, audit current to March 2028, already qualified for two other programmes. And it shows its working — "sources read: clause 7.3, Approved Supplier List, audit validity."</w:t>
      </w:r>
    </w:p>
    <w:p>
      <w:pPr>
        <w:spacing w:after="120"/>
      </w:pPr>
      <w:r>
        <w:rPr>
          <w:i/>
          <w:iCs/>
          <w:color w:val="5A5A5A"/>
          <w:sz w:val="19"/>
          <w:szCs w:val="19"/>
        </w:rPr>
        <w:t xml:space="preserve">▸ Pause here. This is the single most important beat in the demo.</w:t>
      </w:r>
    </w:p>
    <w:p>
      <w:pPr>
        <w:spacing w:after="130" w:line="300"/>
      </w:pPr>
      <w:r>
        <w:rPr>
          <w:sz w:val="22"/>
          <w:szCs w:val="22"/>
        </w:rPr>
        <w:t xml:space="preserve">That is most of a day of somebody’s work, done before anyone came in — and it is </w:t>
      </w:r>
      <w:r>
        <w:rPr>
          <w:b/>
          <w:bCs/>
          <w:sz w:val="22"/>
          <w:szCs w:val="22"/>
        </w:rPr>
        <w:t xml:space="preserve">attributable</w:t>
      </w:r>
      <w:r>
        <w:rPr>
          <w:sz w:val="22"/>
          <w:szCs w:val="22"/>
        </w:rPr>
        <w:t xml:space="preserve">. It names what it read, so you can go and check it.</w:t>
      </w:r>
    </w:p>
    <w:p>
      <w:pPr>
        <w:spacing w:after="130" w:line="300"/>
      </w:pPr>
      <w:r>
        <w:rPr>
          <w:b/>
          <w:bCs/>
          <w:sz w:val="22"/>
          <w:szCs w:val="22"/>
        </w:rPr>
        <w:t xml:space="preserve">Kowalski, Quality</w:t>
      </w:r>
      <w:r>
        <w:rPr>
          <w:sz w:val="22"/>
          <w:szCs w:val="22"/>
        </w:rPr>
        <w:t xml:space="preserve">, just after seven. Bracketed revalidation, not a full one, because the modality is unchanged. And the warning: media-fill qualification on a new line has overrun on two of our last seven transfers. </w:t>
      </w:r>
      <w:r>
        <w:rPr>
          <w:i/>
          <w:iCs/>
          <w:sz w:val="22"/>
          <w:szCs w:val="22"/>
        </w:rPr>
        <w:t xml:space="preserve">That is the thing the agent does not know — institutional memory, and the tool makes room for it.</w:t>
      </w:r>
    </w:p>
    <w:p>
      <w:pPr>
        <w:spacing w:after="130" w:line="300"/>
      </w:pPr>
      <w:r>
        <w:rPr>
          <w:b/>
          <w:bCs/>
          <w:sz w:val="22"/>
          <w:szCs w:val="22"/>
        </w:rPr>
        <w:t xml:space="preserve">Lindqvist, Regulatory</w:t>
      </w:r>
      <w:r>
        <w:rPr>
          <w:sz w:val="22"/>
          <w:szCs w:val="22"/>
        </w:rPr>
        <w:t xml:space="preserve">, just after eight — and this reframes everything. The real risk is not the 47 days, it is the </w:t>
      </w:r>
      <w:r>
        <w:rPr>
          <w:b/>
          <w:bCs/>
          <w:sz w:val="22"/>
          <w:szCs w:val="22"/>
        </w:rPr>
        <w:t xml:space="preserve">CHMP review slot</w:t>
      </w:r>
      <w:r>
        <w:rPr>
          <w:sz w:val="22"/>
          <w:szCs w:val="22"/>
        </w:rPr>
        <w:t xml:space="preserve">. We hold Q4. Miss mid-November and the next confirmed window is February.</w:t>
      </w:r>
    </w:p>
    <w:p>
      <w:pPr>
        <w:spacing w:after="130" w:line="300"/>
      </w:pPr>
      <w:r>
        <w:rPr>
          <w:sz w:val="22"/>
          <w:szCs w:val="22"/>
        </w:rPr>
        <w:t xml:space="preserve">Three functions and one agent had already told him what he is deciding. Nobody convened anything. That is the orchestration.</w:t>
      </w:r>
    </w:p>
    <w:p>
      <w:pPr>
        <w:pStyle w:val="Heading2"/>
        <w:spacing w:after="120" w:before="300"/>
      </w:pPr>
      <w:r>
        <w:rPr>
          <w:b/>
          <w:bCs/>
          <w:color w:val="4B0082"/>
          <w:sz w:val="25"/>
          <w:szCs w:val="25"/>
        </w:rPr>
        <w:t xml:space="preserve">5:40 — Three options, one clock</w:t>
      </w:r>
    </w:p>
    <w:p>
      <w:pPr>
        <w:pBdr>
          <w:left w:val="single" w:color="4B0082" w:sz="18" w:space="8"/>
        </w:pBdr>
        <w:shd w:fill="EFEAF6" w:val="clear"/>
        <w:spacing w:after="100" w:before="120"/>
        <w:ind w:left="120"/>
      </w:pPr>
      <w:r>
        <w:rPr>
          <w:b/>
          <w:bCs/>
          <w:i/>
          <w:iCs/>
          <w:color w:val="4B0082"/>
          <w:sz w:val="19"/>
          <w:szCs w:val="19"/>
        </w:rPr>
        <w:t xml:space="preserve">Options table — "selecting one rebuilds the action plan below"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900"/>
        <w:gridCol w:w="1200"/>
        <w:gridCol w:w="1300"/>
        <w:gridCol w:w="900"/>
      </w:tblGrid>
      <w:tr>
        <w:trPr>
          <w:tblHeader/>
        </w:trPr>
        <w:tc>
          <w:tcPr>
            <w:tcW w:type="dxa" w:w="2900"/>
            <w:shd w:fill="4B0082" w:val="clear"/>
            <w:tcMar>
              <w:top w:type="dxa" w:w="60"/>
              <w:left w:type="dxa" w:w="90"/>
              <w:bottom w:type="dxa" w:w="60"/>
              <w:right w:type="dxa" w:w="90"/>
            </w:tcMar>
          </w:tcPr>
          <w:p>
            <w:r>
              <w:rPr>
                <w:b/>
                <w:bCs/>
                <w:color w:val="FFFFFF"/>
                <w:sz w:val="18"/>
                <w:szCs w:val="18"/>
              </w:rPr>
              <w:t xml:space="preserve">Option</w:t>
            </w:r>
          </w:p>
        </w:tc>
        <w:tc>
          <w:tcPr>
            <w:tcW w:type="dxa" w:w="1600"/>
            <w:shd w:fill="4B0082" w:val="clear"/>
            <w:tcMar>
              <w:top w:type="dxa" w:w="60"/>
              <w:left w:type="dxa" w:w="90"/>
              <w:bottom w:type="dxa" w:w="60"/>
              <w:right w:type="dxa" w:w="90"/>
            </w:tcMar>
          </w:tcPr>
          <w:p>
            <w:r>
              <w:rPr>
                <w:b/>
                <w:bCs/>
                <w:color w:val="FFFFFF"/>
                <w:sz w:val="18"/>
                <w:szCs w:val="18"/>
              </w:rPr>
              <w:t xml:space="preserve">Slip</w:t>
            </w:r>
          </w:p>
        </w:tc>
        <w:tc>
          <w:tcPr>
            <w:tcW w:type="dxa" w:w="900"/>
            <w:shd w:fill="4B0082" w:val="clear"/>
            <w:tcMar>
              <w:top w:type="dxa" w:w="60"/>
              <w:left w:type="dxa" w:w="90"/>
              <w:bottom w:type="dxa" w:w="60"/>
              <w:right w:type="dxa" w:w="90"/>
            </w:tcMar>
          </w:tcPr>
          <w:p>
            <w:r>
              <w:rPr>
                <w:b/>
                <w:bCs/>
                <w:color w:val="FFFFFF"/>
                <w:sz w:val="18"/>
                <w:szCs w:val="18"/>
              </w:rPr>
              <w:t xml:space="preserve">Cost</w:t>
            </w:r>
          </w:p>
        </w:tc>
        <w:tc>
          <w:tcPr>
            <w:tcW w:type="dxa" w:w="1200"/>
            <w:shd w:fill="4B0082" w:val="clear"/>
            <w:tcMar>
              <w:top w:type="dxa" w:w="60"/>
              <w:left w:type="dxa" w:w="90"/>
              <w:bottom w:type="dxa" w:w="60"/>
              <w:right w:type="dxa" w:w="90"/>
            </w:tcMar>
          </w:tcPr>
          <w:p>
            <w:r>
              <w:rPr>
                <w:b/>
                <w:bCs/>
                <w:color w:val="FFFFFF"/>
                <w:sz w:val="18"/>
                <w:szCs w:val="18"/>
              </w:rPr>
              <w:t xml:space="preserve">CHMP slot</w:t>
            </w:r>
          </w:p>
        </w:tc>
        <w:tc>
          <w:tcPr>
            <w:tcW w:type="dxa" w:w="1300"/>
            <w:shd w:fill="4B0082" w:val="clear"/>
            <w:tcMar>
              <w:top w:type="dxa" w:w="60"/>
              <w:left w:type="dxa" w:w="90"/>
              <w:bottom w:type="dxa" w:w="60"/>
              <w:right w:type="dxa" w:w="90"/>
            </w:tcMar>
          </w:tcPr>
          <w:p>
            <w:r>
              <w:rPr>
                <w:b/>
                <w:bCs/>
                <w:color w:val="FFFFFF"/>
                <w:sz w:val="18"/>
                <w:szCs w:val="18"/>
              </w:rPr>
              <w:t xml:space="preserve">Revenue kept</w:t>
            </w:r>
          </w:p>
        </w:tc>
        <w:tc>
          <w:tcPr>
            <w:tcW w:type="dxa" w:w="900"/>
            <w:shd w:fill="4B0082" w:val="clear"/>
            <w:tcMar>
              <w:top w:type="dxa" w:w="60"/>
              <w:left w:type="dxa" w:w="90"/>
              <w:bottom w:type="dxa" w:w="60"/>
              <w:right w:type="dxa" w:w="90"/>
            </w:tcMar>
          </w:tcPr>
          <w:p>
            <w:r>
              <w:rPr>
                <w:b/>
                <w:bCs/>
                <w:color w:val="FFFFFF"/>
                <w:sz w:val="18"/>
                <w:szCs w:val="18"/>
              </w:rPr>
              <w:t xml:space="preserve">Risk</w:t>
            </w:r>
          </w:p>
        </w:tc>
      </w:tr>
      <w:tr>
        <w:tc>
          <w:tcPr>
            <w:tcW w:type="dxa" w:w="2900"/>
            <w:shd w:fill="FFFFFF" w:val="clear"/>
            <w:tcMar>
              <w:top w:type="dxa" w:w="60"/>
              <w:left w:type="dxa" w:w="90"/>
              <w:bottom w:type="dxa" w:w="60"/>
              <w:right w:type="dxa" w:w="90"/>
            </w:tcMar>
          </w:tcPr>
          <w:p>
            <w:r>
              <w:rPr>
                <w:b/>
                <w:bCs/>
                <w:sz w:val="18"/>
                <w:szCs w:val="18"/>
              </w:rPr>
              <w:t xml:space="preserve">A — Dual-source to Siegfried Hameln</w:t>
            </w:r>
          </w:p>
        </w:tc>
        <w:tc>
          <w:tcPr>
            <w:tcW w:type="dxa" w:w="1600"/>
            <w:shd w:fill="FFFFFF" w:val="clear"/>
            <w:tcMar>
              <w:top w:type="dxa" w:w="60"/>
              <w:left w:type="dxa" w:w="90"/>
              <w:bottom w:type="dxa" w:w="60"/>
              <w:right w:type="dxa" w:w="90"/>
            </w:tcMar>
          </w:tcPr>
          <w:p>
            <w:r>
              <w:rPr>
                <w:b w:val="false"/>
                <w:bCs w:val="false"/>
                <w:sz w:val="18"/>
                <w:szCs w:val="18"/>
              </w:rPr>
              <w:t xml:space="preserve">+9d instead of +47</w:t>
            </w:r>
          </w:p>
        </w:tc>
        <w:tc>
          <w:tcPr>
            <w:tcW w:type="dxa" w:w="900"/>
            <w:shd w:fill="FFFFFF" w:val="clear"/>
            <w:tcMar>
              <w:top w:type="dxa" w:w="60"/>
              <w:left w:type="dxa" w:w="90"/>
              <w:bottom w:type="dxa" w:w="60"/>
              <w:right w:type="dxa" w:w="90"/>
            </w:tcMar>
          </w:tcPr>
          <w:p>
            <w:r>
              <w:rPr>
                <w:b w:val="false"/>
                <w:bCs w:val="false"/>
                <w:sz w:val="18"/>
                <w:szCs w:val="18"/>
              </w:rPr>
              <w:t xml:space="preserve">€340k</w:t>
            </w:r>
          </w:p>
        </w:tc>
        <w:tc>
          <w:tcPr>
            <w:tcW w:type="dxa" w:w="1200"/>
            <w:shd w:fill="FFFFFF" w:val="clear"/>
            <w:tcMar>
              <w:top w:type="dxa" w:w="60"/>
              <w:left w:type="dxa" w:w="90"/>
              <w:bottom w:type="dxa" w:w="60"/>
              <w:right w:type="dxa" w:w="90"/>
            </w:tcMar>
          </w:tcPr>
          <w:p>
            <w:r>
              <w:rPr>
                <w:b w:val="false"/>
                <w:bCs w:val="false"/>
                <w:sz w:val="18"/>
                <w:szCs w:val="18"/>
              </w:rPr>
              <w:t xml:space="preserve">Retained</w:t>
            </w:r>
          </w:p>
        </w:tc>
        <w:tc>
          <w:tcPr>
            <w:tcW w:type="dxa" w:w="1300"/>
            <w:shd w:fill="FFFFFF" w:val="clear"/>
            <w:tcMar>
              <w:top w:type="dxa" w:w="60"/>
              <w:left w:type="dxa" w:w="90"/>
              <w:bottom w:type="dxa" w:w="60"/>
              <w:right w:type="dxa" w:w="90"/>
            </w:tcMar>
          </w:tcPr>
          <w:p>
            <w:r>
              <w:rPr>
                <w:b w:val="false"/>
                <w:bCs w:val="false"/>
                <w:sz w:val="18"/>
                <w:szCs w:val="18"/>
              </w:rPr>
              <w:t xml:space="preserve">€18.4M</w:t>
            </w:r>
          </w:p>
        </w:tc>
        <w:tc>
          <w:tcPr>
            <w:tcW w:type="dxa" w:w="900"/>
            <w:shd w:fill="FFFFFF" w:val="clear"/>
            <w:tcMar>
              <w:top w:type="dxa" w:w="60"/>
              <w:left w:type="dxa" w:w="90"/>
              <w:bottom w:type="dxa" w:w="60"/>
              <w:right w:type="dxa" w:w="90"/>
            </w:tcMar>
          </w:tcPr>
          <w:p>
            <w:r>
              <w:rPr>
                <w:b w:val="false"/>
                <w:bCs w:val="false"/>
                <w:sz w:val="18"/>
                <w:szCs w:val="18"/>
              </w:rPr>
              <w:t xml:space="preserve">Medium</w:t>
            </w:r>
          </w:p>
        </w:tc>
      </w:tr>
      <w:tr>
        <w:tc>
          <w:tcPr>
            <w:tcW w:type="dxa" w:w="2900"/>
            <w:shd w:fill="F6F4FA" w:val="clear"/>
            <w:tcMar>
              <w:top w:type="dxa" w:w="60"/>
              <w:left w:type="dxa" w:w="90"/>
              <w:bottom w:type="dxa" w:w="60"/>
              <w:right w:type="dxa" w:w="90"/>
            </w:tcMar>
          </w:tcPr>
          <w:p>
            <w:r>
              <w:rPr>
                <w:b/>
                <w:bCs/>
                <w:sz w:val="18"/>
                <w:szCs w:val="18"/>
              </w:rPr>
              <w:t xml:space="preserve">B — Switch fill site to Siegfried</w:t>
            </w:r>
          </w:p>
        </w:tc>
        <w:tc>
          <w:tcPr>
            <w:tcW w:type="dxa" w:w="1600"/>
            <w:shd w:fill="F6F4FA" w:val="clear"/>
            <w:tcMar>
              <w:top w:type="dxa" w:w="60"/>
              <w:left w:type="dxa" w:w="90"/>
              <w:bottom w:type="dxa" w:w="60"/>
              <w:right w:type="dxa" w:w="90"/>
            </w:tcMar>
          </w:tcPr>
          <w:p>
            <w:r>
              <w:rPr>
                <w:b w:val="false"/>
                <w:bCs w:val="false"/>
                <w:sz w:val="18"/>
                <w:szCs w:val="18"/>
              </w:rPr>
              <w:t xml:space="preserve">+62d</w:t>
            </w:r>
          </w:p>
        </w:tc>
        <w:tc>
          <w:tcPr>
            <w:tcW w:type="dxa" w:w="900"/>
            <w:shd w:fill="F6F4FA" w:val="clear"/>
            <w:tcMar>
              <w:top w:type="dxa" w:w="60"/>
              <w:left w:type="dxa" w:w="90"/>
              <w:bottom w:type="dxa" w:w="60"/>
              <w:right w:type="dxa" w:w="90"/>
            </w:tcMar>
          </w:tcPr>
          <w:p>
            <w:r>
              <w:rPr>
                <w:b w:val="false"/>
                <w:bCs w:val="false"/>
                <w:sz w:val="18"/>
                <w:szCs w:val="18"/>
              </w:rPr>
              <w:t xml:space="preserve">€1.1M</w:t>
            </w:r>
          </w:p>
        </w:tc>
        <w:tc>
          <w:tcPr>
            <w:tcW w:type="dxa" w:w="1200"/>
            <w:shd w:fill="F6F4FA" w:val="clear"/>
            <w:tcMar>
              <w:top w:type="dxa" w:w="60"/>
              <w:left w:type="dxa" w:w="90"/>
              <w:bottom w:type="dxa" w:w="60"/>
              <w:right w:type="dxa" w:w="90"/>
            </w:tcMar>
          </w:tcPr>
          <w:p>
            <w:r>
              <w:rPr>
                <w:b w:val="false"/>
                <w:bCs w:val="false"/>
                <w:sz w:val="18"/>
                <w:szCs w:val="18"/>
              </w:rPr>
              <w:t xml:space="preserve">Forfeited</w:t>
            </w:r>
          </w:p>
        </w:tc>
        <w:tc>
          <w:tcPr>
            <w:tcW w:type="dxa" w:w="1300"/>
            <w:shd w:fill="F6F4FA" w:val="clear"/>
            <w:tcMar>
              <w:top w:type="dxa" w:w="60"/>
              <w:left w:type="dxa" w:w="90"/>
              <w:bottom w:type="dxa" w:w="60"/>
              <w:right w:type="dxa" w:w="90"/>
            </w:tcMar>
          </w:tcPr>
          <w:p>
            <w:r>
              <w:rPr>
                <w:b w:val="false"/>
                <w:bCs w:val="false"/>
                <w:sz w:val="18"/>
                <w:szCs w:val="18"/>
              </w:rPr>
              <w:t xml:space="preserve">€14.7M</w:t>
            </w:r>
          </w:p>
        </w:tc>
        <w:tc>
          <w:tcPr>
            <w:tcW w:type="dxa" w:w="900"/>
            <w:shd w:fill="F6F4FA" w:val="clear"/>
            <w:tcMar>
              <w:top w:type="dxa" w:w="60"/>
              <w:left w:type="dxa" w:w="90"/>
              <w:bottom w:type="dxa" w:w="60"/>
              <w:right w:type="dxa" w:w="90"/>
            </w:tcMar>
          </w:tcPr>
          <w:p>
            <w:r>
              <w:rPr>
                <w:b w:val="false"/>
                <w:bCs w:val="false"/>
                <w:sz w:val="18"/>
                <w:szCs w:val="18"/>
              </w:rPr>
              <w:t xml:space="preserve">High</w:t>
            </w:r>
          </w:p>
        </w:tc>
      </w:tr>
      <w:tr>
        <w:tc>
          <w:tcPr>
            <w:tcW w:type="dxa" w:w="2900"/>
            <w:shd w:fill="FFFFFF" w:val="clear"/>
            <w:tcMar>
              <w:top w:type="dxa" w:w="60"/>
              <w:left w:type="dxa" w:w="90"/>
              <w:bottom w:type="dxa" w:w="60"/>
              <w:right w:type="dxa" w:w="90"/>
            </w:tcMar>
          </w:tcPr>
          <w:p>
            <w:r>
              <w:rPr>
                <w:b/>
                <w:bCs/>
                <w:sz w:val="18"/>
                <w:szCs w:val="18"/>
              </w:rPr>
              <w:t xml:space="preserve">C — Re-sequence, US first, EU wave 2</w:t>
            </w:r>
          </w:p>
        </w:tc>
        <w:tc>
          <w:tcPr>
            <w:tcW w:type="dxa" w:w="1600"/>
            <w:shd w:fill="FFFFFF" w:val="clear"/>
            <w:tcMar>
              <w:top w:type="dxa" w:w="60"/>
              <w:left w:type="dxa" w:w="90"/>
              <w:bottom w:type="dxa" w:w="60"/>
              <w:right w:type="dxa" w:w="90"/>
            </w:tcMar>
          </w:tcPr>
          <w:p>
            <w:r>
              <w:rPr>
                <w:b w:val="false"/>
                <w:bCs w:val="false"/>
                <w:sz w:val="18"/>
                <w:szCs w:val="18"/>
              </w:rPr>
              <w:t xml:space="preserve">+78d EU, none US</w:t>
            </w:r>
          </w:p>
        </w:tc>
        <w:tc>
          <w:tcPr>
            <w:tcW w:type="dxa" w:w="900"/>
            <w:shd w:fill="FFFFFF" w:val="clear"/>
            <w:tcMar>
              <w:top w:type="dxa" w:w="60"/>
              <w:left w:type="dxa" w:w="90"/>
              <w:bottom w:type="dxa" w:w="60"/>
              <w:right w:type="dxa" w:w="90"/>
            </w:tcMar>
          </w:tcPr>
          <w:p>
            <w:r>
              <w:rPr>
                <w:b w:val="false"/>
                <w:bCs w:val="false"/>
                <w:sz w:val="18"/>
                <w:szCs w:val="18"/>
              </w:rPr>
              <w:t xml:space="preserve">€0</w:t>
            </w:r>
          </w:p>
        </w:tc>
        <w:tc>
          <w:tcPr>
            <w:tcW w:type="dxa" w:w="1200"/>
            <w:shd w:fill="FFFFFF" w:val="clear"/>
            <w:tcMar>
              <w:top w:type="dxa" w:w="60"/>
              <w:left w:type="dxa" w:w="90"/>
              <w:bottom w:type="dxa" w:w="60"/>
              <w:right w:type="dxa" w:w="90"/>
            </w:tcMar>
          </w:tcPr>
          <w:p>
            <w:r>
              <w:rPr>
                <w:b w:val="false"/>
                <w:bCs w:val="false"/>
                <w:sz w:val="18"/>
                <w:szCs w:val="18"/>
              </w:rPr>
              <w:t xml:space="preserve">Forfeited</w:t>
            </w:r>
          </w:p>
        </w:tc>
        <w:tc>
          <w:tcPr>
            <w:tcW w:type="dxa" w:w="1300"/>
            <w:shd w:fill="FFFFFF" w:val="clear"/>
            <w:tcMar>
              <w:top w:type="dxa" w:w="60"/>
              <w:left w:type="dxa" w:w="90"/>
              <w:bottom w:type="dxa" w:w="60"/>
              <w:right w:type="dxa" w:w="90"/>
            </w:tcMar>
          </w:tcPr>
          <w:p>
            <w:r>
              <w:rPr>
                <w:b w:val="false"/>
                <w:bCs w:val="false"/>
                <w:sz w:val="18"/>
                <w:szCs w:val="18"/>
              </w:rPr>
              <w:t xml:space="preserve">€11.2M</w:t>
            </w:r>
          </w:p>
        </w:tc>
        <w:tc>
          <w:tcPr>
            <w:tcW w:type="dxa" w:w="900"/>
            <w:shd w:fill="FFFFFF" w:val="clear"/>
            <w:tcMar>
              <w:top w:type="dxa" w:w="60"/>
              <w:left w:type="dxa" w:w="90"/>
              <w:bottom w:type="dxa" w:w="60"/>
              <w:right w:type="dxa" w:w="90"/>
            </w:tcMar>
          </w:tcPr>
          <w:p>
            <w:r>
              <w:rPr>
                <w:b w:val="false"/>
                <w:bCs w:val="false"/>
                <w:sz w:val="18"/>
                <w:szCs w:val="18"/>
              </w:rPr>
              <w:t xml:space="preserve">Low</w:t>
            </w:r>
          </w:p>
        </w:tc>
      </w:tr>
    </w:tbl>
    <w:p>
      <w:pPr>
        <w:spacing w:after="80"/>
      </w:pPr>
      <w:r>
        <w:t xml:space="preserve"/>
      </w:r>
    </w:p>
    <w:p>
      <w:pPr>
        <w:spacing w:after="130" w:line="300"/>
      </w:pPr>
      <w:r>
        <w:rPr>
          <w:sz w:val="22"/>
          <w:szCs w:val="22"/>
        </w:rPr>
        <w:t xml:space="preserve">A carries the </w:t>
      </w:r>
      <w:r>
        <w:rPr>
          <w:b/>
          <w:bCs/>
          <w:sz w:val="22"/>
          <w:szCs w:val="22"/>
        </w:rPr>
        <w:t xml:space="preserve">Agent recommends</w:t>
      </w:r>
      <w:r>
        <w:rPr>
          <w:sz w:val="22"/>
          <w:szCs w:val="22"/>
        </w:rPr>
        <w:t xml:space="preserve"> badge. Read the columns against what Lindqvist just said and it decides itself: </w:t>
      </w:r>
      <w:r>
        <w:rPr>
          <w:b/>
          <w:bCs/>
          <w:sz w:val="22"/>
          <w:szCs w:val="22"/>
        </w:rPr>
        <w:t xml:space="preserve">only one option keeps the CHMP slot</w:t>
      </w:r>
      <w:r>
        <w:rPr>
          <w:sz w:val="22"/>
          <w:szCs w:val="22"/>
        </w:rPr>
        <w:t xml:space="preserve">.</w:t>
      </w:r>
    </w:p>
    <w:p>
      <w:pPr>
        <w:spacing w:after="130" w:line="300"/>
      </w:pPr>
      <w:r>
        <w:rPr>
          <w:sz w:val="22"/>
          <w:szCs w:val="22"/>
        </w:rPr>
        <w:t xml:space="preserve">B costs three times as much and still loses the window. C is free and marked low risk — but that means unwinding a decision the governance board already took and moving €7.2M out of the year. And A is not free either: €340k, medium risk, Kowalski’s warning live. It just wins on the only clock that matters.</w:t>
      </w:r>
    </w:p>
    <w:p>
      <w:pPr>
        <w:pBdr>
          <w:left w:val="single" w:color="4B0082" w:sz="18" w:space="8"/>
        </w:pBdr>
        <w:shd w:fill="EFEAF6" w:val="clear"/>
        <w:spacing w:after="100" w:before="120"/>
        <w:ind w:left="120"/>
      </w:pPr>
      <w:r>
        <w:rPr>
          <w:b/>
          <w:bCs/>
          <w:i/>
          <w:iCs/>
          <w:color w:val="4B0082"/>
          <w:sz w:val="19"/>
          <w:szCs w:val="19"/>
        </w:rPr>
        <w:t xml:space="preserve">Select Option A — the plan builds underneath</w:t>
      </w:r>
    </w:p>
    <w:p>
      <w:pPr>
        <w:pStyle w:val="Heading2"/>
        <w:spacing w:after="120" w:before="300"/>
      </w:pPr>
      <w:r>
        <w:rPr>
          <w:b/>
          <w:bCs/>
          <w:color w:val="4B0082"/>
          <w:sz w:val="25"/>
          <w:szCs w:val="25"/>
        </w:rPr>
        <w:t xml:space="preserve">6:40 — The action plan</w:t>
      </w:r>
    </w:p>
    <w:p>
      <w:pPr>
        <w:spacing w:after="130" w:line="300"/>
      </w:pPr>
      <w:r>
        <w:rPr>
          <w:b/>
          <w:bCs/>
          <w:sz w:val="22"/>
          <w:szCs w:val="22"/>
        </w:rPr>
        <w:t xml:space="preserve">"0 of 7 done · 4 can be run by agents · writes back to 6 source systems"</w:t>
      </w:r>
      <w:r>
        <w:rPr>
          <w:sz w:val="22"/>
          <w:szCs w:val="22"/>
        </w:rPr>
        <w:t xml:space="preserve"> — Ariba, Veeva QMS, Veeva RIM, Planisware, SAP SRM, SAP ECC.</w:t>
      </w:r>
    </w:p>
    <w:p>
      <w:pPr>
        <w:spacing w:after="130" w:line="300"/>
      </w:pPr>
      <w:r>
        <w:rPr>
          <w:b/>
          <w:bCs/>
          <w:sz w:val="22"/>
          <w:szCs w:val="22"/>
        </w:rPr>
        <w:t xml:space="preserve">Four an agent runs: </w:t>
      </w:r>
      <w:r>
        <w:rPr>
          <w:sz w:val="22"/>
          <w:szCs w:val="22"/>
        </w:rPr>
        <w:t xml:space="preserve">book the Siegfried slot and issue the capacity PO in Ariba; draft the revalidation protocol from the Sasanlimab precedent in Veeva QMS; notify CHMP and hold the Q4 slot in Veeva RIM; re-baseline G3 to 13 November and cascade in Planisware.</w:t>
      </w:r>
    </w:p>
    <w:p>
      <w:pPr>
        <w:spacing w:after="130" w:line="300"/>
      </w:pPr>
      <w:r>
        <w:rPr>
          <w:b/>
          <w:bCs/>
          <w:sz w:val="22"/>
          <w:szCs w:val="22"/>
        </w:rPr>
        <w:t xml:space="preserve">Three stay human: </w:t>
      </w:r>
      <w:r>
        <w:rPr>
          <w:sz w:val="22"/>
          <w:szCs w:val="22"/>
        </w:rPr>
        <w:t xml:space="preserve">the take-or-pay amendment (Okafor, needs Legal); approve the protocol and release the validation lots (Kowalski); release the €340k (Bergmann, within his authority).</w:t>
      </w:r>
    </w:p>
    <w:p>
      <w:pPr>
        <w:spacing w:after="130" w:line="300"/>
      </w:pPr>
      <w:r>
        <w:rPr>
          <w:sz w:val="22"/>
          <w:szCs w:val="22"/>
        </w:rPr>
        <w:t xml:space="preserve">Two things to point at. Kowalski’s row reads </w:t>
      </w:r>
      <w:r>
        <w:rPr>
          <w:b/>
          <w:bCs/>
          <w:sz w:val="22"/>
          <w:szCs w:val="22"/>
        </w:rPr>
        <w:t xml:space="preserve">"not delegable to an agent"</w:t>
      </w:r>
      <w:r>
        <w:rPr>
          <w:sz w:val="22"/>
          <w:szCs w:val="22"/>
        </w:rPr>
        <w:t xml:space="preserve"> — that is not a limitation, it is a position: lot release is a named human’s signature, always, and the tool encodes it.</w:t>
      </w:r>
    </w:p>
    <w:p>
      <w:pPr>
        <w:spacing w:after="130" w:line="300"/>
      </w:pPr>
      <w:r>
        <w:rPr>
          <w:sz w:val="22"/>
          <w:szCs w:val="22"/>
        </w:rPr>
        <w:t xml:space="preserve">And the take-or-pay amendment is not a fix for this problem — it is the contract change that stops it </w:t>
      </w:r>
      <w:r>
        <w:rPr>
          <w:b/>
          <w:bCs/>
          <w:sz w:val="22"/>
          <w:szCs w:val="22"/>
        </w:rPr>
        <w:t xml:space="preserve">happening again</w:t>
      </w:r>
      <w:r>
        <w:rPr>
          <w:sz w:val="22"/>
          <w:szCs w:val="22"/>
        </w:rPr>
        <w:t xml:space="preserve">. The plan includes the thing that never survives the week.</w:t>
      </w:r>
    </w:p>
    <w:p>
      <w:pPr>
        <w:pStyle w:val="Heading2"/>
        <w:spacing w:after="120" w:before="300"/>
      </w:pPr>
      <w:r>
        <w:rPr>
          <w:b/>
          <w:bCs/>
          <w:color w:val="4B0082"/>
          <w:sz w:val="25"/>
          <w:szCs w:val="25"/>
        </w:rPr>
        <w:t xml:space="preserve">7:40 — Approve, then execute: the write-back</w:t>
      </w:r>
    </w:p>
    <w:p>
      <w:pPr>
        <w:spacing w:after="120"/>
      </w:pPr>
      <w:r>
        <w:rPr>
          <w:i/>
          <w:iCs/>
          <w:color w:val="5A5A5A"/>
          <w:sz w:val="19"/>
          <w:szCs w:val="19"/>
        </w:rPr>
        <w:t xml:space="preserve">▸ This is the beat that proves it is a real backend. Take it slowly.</w:t>
      </w:r>
    </w:p>
    <w:p>
      <w:pPr>
        <w:spacing w:after="130" w:line="300"/>
      </w:pPr>
      <w:r>
        <w:rPr>
          <w:sz w:val="22"/>
          <w:szCs w:val="22"/>
        </w:rPr>
        <w:t xml:space="preserve">Read the banner, because it is the whole product claim: </w:t>
      </w:r>
      <w:r>
        <w:rPr>
          <w:i/>
          <w:iCs/>
          <w:sz w:val="22"/>
          <w:szCs w:val="22"/>
        </w:rPr>
        <w:t xml:space="preserve">"Approving this decision writes back into the systems of record."</w:t>
      </w:r>
      <w:r>
        <w:rPr>
          <w:sz w:val="22"/>
          <w:szCs w:val="22"/>
        </w:rPr>
        <w:t xml:space="preserve"> Not "notifies". Writes.</w:t>
      </w:r>
    </w:p>
    <w:p>
      <w:pPr>
        <w:pBdr>
          <w:left w:val="single" w:color="4B0082" w:sz="18" w:space="8"/>
        </w:pBdr>
        <w:shd w:fill="EFEAF6" w:val="clear"/>
        <w:spacing w:after="100" w:before="120"/>
        <w:ind w:left="120"/>
      </w:pPr>
      <w:r>
        <w:rPr>
          <w:b/>
          <w:bCs/>
          <w:i/>
          <w:iCs/>
          <w:color w:val="4B0082"/>
          <w:sz w:val="19"/>
          <w:szCs w:val="19"/>
        </w:rPr>
        <w:t xml:space="preserve">Bottom bar — "Approve Option A"</w:t>
      </w:r>
    </w:p>
    <w:p>
      <w:pPr>
        <w:spacing w:after="130" w:line="300"/>
      </w:pPr>
      <w:r>
        <w:rPr>
          <w:b/>
          <w:bCs/>
          <w:sz w:val="22"/>
          <w:szCs w:val="22"/>
        </w:rPr>
        <w:t xml:space="preserve">Gate re-baselined, exposure released, tasks dispatched, CTD entry written.</w:t>
      </w:r>
      <w:r>
        <w:rPr>
          <w:sz w:val="22"/>
          <w:szCs w:val="22"/>
        </w:rPr>
        <w:t xml:space="preserve"> Four systems on one signature — stamped as a </w:t>
      </w:r>
      <w:r>
        <w:rPr>
          <w:b/>
          <w:bCs/>
          <w:sz w:val="22"/>
          <w:szCs w:val="22"/>
        </w:rPr>
        <w:t xml:space="preserve">21 CFR Part 11 electronic signature</w:t>
      </w:r>
      <w:r>
        <w:rPr>
          <w:sz w:val="22"/>
          <w:szCs w:val="22"/>
        </w:rPr>
        <w:t xml:space="preserve">, which is the standard a regulated process is actually held to.</w:t>
      </w:r>
    </w:p>
    <w:p>
      <w:pPr>
        <w:pBdr>
          <w:left w:val="single" w:color="4B0082" w:sz="18" w:space="8"/>
        </w:pBdr>
        <w:shd w:fill="EFEAF6" w:val="clear"/>
        <w:spacing w:after="100" w:before="120"/>
        <w:ind w:left="120"/>
      </w:pPr>
      <w:r>
        <w:rPr>
          <w:b/>
          <w:bCs/>
          <w:i/>
          <w:iCs/>
          <w:color w:val="4B0082"/>
          <w:sz w:val="19"/>
          <w:szCs w:val="19"/>
        </w:rPr>
        <w:t xml:space="preserve">Click "Oversee plan", then "Ask agent to run" on an agent row</w:t>
      </w:r>
    </w:p>
    <w:p>
      <w:pPr>
        <w:spacing w:after="130" w:line="300"/>
      </w:pPr>
      <w:r>
        <w:rPr>
          <w:sz w:val="22"/>
          <w:szCs w:val="22"/>
        </w:rPr>
        <w:t xml:space="preserve">Before anything happens it tells you three things: the </w:t>
      </w:r>
      <w:r>
        <w:rPr>
          <w:b/>
          <w:bCs/>
          <w:sz w:val="22"/>
          <w:szCs w:val="22"/>
        </w:rPr>
        <w:t xml:space="preserve">system of record</w:t>
      </w:r>
      <w:r>
        <w:rPr>
          <w:sz w:val="22"/>
          <w:szCs w:val="22"/>
        </w:rPr>
        <w:t xml:space="preserve">, the </w:t>
      </w:r>
      <w:r>
        <w:rPr>
          <w:b/>
          <w:bCs/>
          <w:sz w:val="22"/>
          <w:szCs w:val="22"/>
        </w:rPr>
        <w:t xml:space="preserve">exact transaction</w:t>
      </w:r>
      <w:r>
        <w:rPr>
          <w:sz w:val="22"/>
          <w:szCs w:val="22"/>
        </w:rPr>
        <w:t xml:space="preserve">, and what it will </w:t>
      </w:r>
      <w:r>
        <w:rPr>
          <w:b/>
          <w:bCs/>
          <w:sz w:val="22"/>
          <w:szCs w:val="22"/>
        </w:rPr>
        <w:t xml:space="preserve">return</w:t>
      </w:r>
      <w:r>
        <w:rPr>
          <w:sz w:val="22"/>
          <w:szCs w:val="22"/>
        </w:rPr>
        <w:t xml:space="preserve">. Not "update Ariba" — convert requisition to purchase order.</w:t>
      </w:r>
    </w:p>
    <w:p>
      <w:pPr>
        <w:spacing w:after="130" w:line="300"/>
      </w:pPr>
      <w:r>
        <w:rPr>
          <w:sz w:val="22"/>
          <w:szCs w:val="22"/>
        </w:rPr>
        <w:t xml:space="preserve">Then "Runs as" names the agent, and two commitments: the write is </w:t>
      </w:r>
      <w:r>
        <w:rPr>
          <w:b/>
          <w:bCs/>
          <w:sz w:val="22"/>
          <w:szCs w:val="22"/>
        </w:rPr>
        <w:t xml:space="preserve">logged against your approval with the agent named as executor</w:t>
      </w:r>
      <w:r>
        <w:rPr>
          <w:sz w:val="22"/>
          <w:szCs w:val="22"/>
        </w:rPr>
        <w:t xml:space="preserve">, and it is </w:t>
      </w:r>
      <w:r>
        <w:rPr>
          <w:b/>
          <w:bCs/>
          <w:sz w:val="22"/>
          <w:szCs w:val="22"/>
        </w:rPr>
        <w:t xml:space="preserve">reversible for 24 hours</w:t>
      </w:r>
      <w:r>
        <w:rPr>
          <w:sz w:val="22"/>
          <w:szCs w:val="22"/>
        </w:rPr>
        <w:t xml:space="preserve">. And the guardrail, in plain English: </w:t>
      </w:r>
      <w:r>
        <w:rPr>
          <w:i/>
          <w:iCs/>
          <w:sz w:val="22"/>
          <w:szCs w:val="22"/>
        </w:rPr>
        <w:t xml:space="preserve">the agent may write this transaction in this system and nothing else.</w:t>
      </w:r>
    </w:p>
    <w:p>
      <w:pPr>
        <w:spacing w:after="130" w:line="300"/>
      </w:pPr>
      <w:r>
        <w:rPr>
          <w:sz w:val="22"/>
          <w:szCs w:val="22"/>
        </w:rPr>
        <w:t xml:space="preserve">If the client photographs one screen today, make it this one. That is the whole answer to "what is the agent allowed to do": </w:t>
      </w:r>
      <w:r>
        <w:rPr>
          <w:b/>
          <w:bCs/>
          <w:sz w:val="22"/>
          <w:szCs w:val="22"/>
        </w:rPr>
        <w:t xml:space="preserve">one transaction, one system, named in advance, reversible for a day — and accountability stays with the person who approved it.</w:t>
      </w:r>
    </w:p>
    <w:p>
      <w:pPr>
        <w:pBdr>
          <w:left w:val="single" w:color="4B0082" w:sz="18" w:space="8"/>
        </w:pBdr>
        <w:shd w:fill="EFEAF6" w:val="clear"/>
        <w:spacing w:after="100" w:before="120"/>
        <w:ind w:left="120"/>
      </w:pPr>
      <w:r>
        <w:rPr>
          <w:b/>
          <w:bCs/>
          <w:i/>
          <w:iCs/>
          <w:color w:val="4B0082"/>
          <w:sz w:val="19"/>
          <w:szCs w:val="19"/>
        </w:rPr>
        <w:t xml:space="preserve">Click "Dispatch and write"</w:t>
      </w:r>
    </w:p>
    <w:p>
      <w:pPr>
        <w:spacing w:after="130" w:line="300"/>
      </w:pPr>
      <w:r>
        <w:rPr>
          <w:sz w:val="22"/>
          <w:szCs w:val="22"/>
        </w:rPr>
        <w:t xml:space="preserve">"Written back." Nothing here asked George to go and do it somewhere else.</w:t>
      </w:r>
    </w:p>
    <w:p>
      <w:pPr>
        <w:pStyle w:val="Heading2"/>
        <w:spacing w:after="120" w:before="300"/>
      </w:pPr>
      <w:r>
        <w:rPr>
          <w:b/>
          <w:bCs/>
          <w:color w:val="4B0082"/>
          <w:sz w:val="25"/>
          <w:szCs w:val="25"/>
        </w:rPr>
        <w:t xml:space="preserve">8:50 — Milestone replan</w:t>
      </w:r>
    </w:p>
    <w:p>
      <w:pPr>
        <w:shd w:fill="FDECEA" w:val="clear"/>
        <w:spacing w:after="120" w:before="100"/>
        <w:ind w:left="120"/>
      </w:pPr>
      <w:r>
        <w:rPr>
          <w:b/>
          <w:bCs/>
          <w:color w:val="B3261E"/>
          <w:sz w:val="19"/>
          <w:szCs w:val="19"/>
        </w:rPr>
        <w:t xml:space="preserve">The screen opens on PF-3945 / FDA at 42 days. Select the Berobenatide scenario first — it then defaults to 35 days.</w:t>
      </w:r>
    </w:p>
    <w:p>
      <w:pPr>
        <w:pBdr>
          <w:left w:val="single" w:color="4B0082" w:sz="18" w:space="8"/>
        </w:pBdr>
        <w:shd w:fill="EFEAF6" w:val="clear"/>
        <w:spacing w:after="100" w:before="120"/>
        <w:ind w:left="120"/>
      </w:pPr>
      <w:r>
        <w:rPr>
          <w:b/>
          <w:bCs/>
          <w:i/>
          <w:iCs/>
          <w:color w:val="4B0082"/>
          <w:sz w:val="19"/>
          <w:szCs w:val="19"/>
        </w:rPr>
        <w:t xml:space="preserve">Scenario row — select "Berobenatide · CHMP Opinion", then run the cascade replan</w:t>
      </w:r>
    </w:p>
    <w:p>
      <w:pPr>
        <w:spacing w:after="130" w:line="300"/>
      </w:pPr>
      <w:r>
        <w:rPr>
          <w:sz w:val="22"/>
          <w:szCs w:val="22"/>
        </w:rPr>
        <w:t xml:space="preserve">A launch is not one decision. Say the CHMP Opinion slips five weeks.</w:t>
      </w:r>
    </w:p>
    <w:p>
      <w:pPr>
        <w:spacing w:after="130" w:line="300"/>
      </w:pPr>
      <w:r>
        <w:rPr>
          <w:sz w:val="22"/>
          <w:szCs w:val="22"/>
        </w:rPr>
        <w:t xml:space="preserve">Five downstream impacts, worked out automatically. </w:t>
      </w:r>
      <w:r>
        <w:rPr>
          <w:b/>
          <w:bCs/>
          <w:sz w:val="22"/>
          <w:szCs w:val="22"/>
        </w:rPr>
        <w:t xml:space="preserve">Three the agents resolved alone</w:t>
      </w:r>
      <w:r>
        <w:rPr>
          <w:sz w:val="22"/>
          <w:szCs w:val="22"/>
        </w:rPr>
        <w:t xml:space="preserve">: 27 national filings re-derived and the calendar reissued; EU artwork and serialisation held, so we do not print a label that no longer matches the approval; the Puurs build shifted with the line window re-confirmed.</w:t>
      </w:r>
    </w:p>
    <w:p>
      <w:pPr>
        <w:spacing w:after="130" w:line="300"/>
      </w:pPr>
      <w:r>
        <w:rPr>
          <w:b/>
          <w:bCs/>
          <w:sz w:val="22"/>
          <w:szCs w:val="22"/>
        </w:rPr>
        <w:t xml:space="preserve">And two it refused to decide.</w:t>
      </w:r>
      <w:r>
        <w:rPr>
          <w:sz w:val="22"/>
          <w:szCs w:val="22"/>
        </w:rPr>
        <w:t xml:space="preserve"> Germany tenders Q2 and Q4 only — wait for Q4 and defer €8.4M, or file an interim price that sets a lower EU reference. And nine affiliates — hold all nine, or release the four that are price-independent?</w:t>
      </w:r>
    </w:p>
    <w:p>
      <w:pPr>
        <w:spacing w:after="130" w:line="300"/>
      </w:pPr>
      <w:r>
        <w:rPr>
          <w:sz w:val="22"/>
          <w:szCs w:val="22"/>
        </w:rPr>
        <w:t xml:space="preserve">The agents did the derivation and then stopped, with options costed and an owner named. It automated the arithmetic, not the accountability.</w:t>
      </w:r>
    </w:p>
    <w:p>
      <w:pPr>
        <w:pStyle w:val="Heading2"/>
        <w:spacing w:after="120" w:before="300"/>
      </w:pPr>
      <w:r>
        <w:rPr>
          <w:b/>
          <w:bCs/>
          <w:color w:val="4B0082"/>
          <w:sz w:val="25"/>
          <w:szCs w:val="25"/>
        </w:rPr>
        <w:t xml:space="preserve">9:40 — Documents</w:t>
      </w:r>
    </w:p>
    <w:p>
      <w:pPr>
        <w:pBdr>
          <w:left w:val="single" w:color="4B0082" w:sz="18" w:space="8"/>
        </w:pBdr>
        <w:shd w:fill="EFEAF6" w:val="clear"/>
        <w:spacing w:after="100" w:before="120"/>
        <w:ind w:left="120"/>
      </w:pPr>
      <w:r>
        <w:rPr>
          <w:b/>
          <w:bCs/>
          <w:i/>
          <w:iCs/>
          <w:color w:val="4B0082"/>
          <w:sz w:val="19"/>
          <w:szCs w:val="19"/>
        </w:rPr>
        <w:t xml:space="preserve">Documents tab — click the "missing" KPI to filter</w:t>
      </w:r>
    </w:p>
    <w:p>
      <w:pPr>
        <w:spacing w:after="130" w:line="300"/>
      </w:pPr>
      <w:r>
        <w:rPr>
          <w:b/>
          <w:bCs/>
          <w:sz w:val="22"/>
          <w:szCs w:val="22"/>
        </w:rPr>
        <w:t xml:space="preserve">83 documents</w:t>
      </w:r>
      <w:r>
        <w:rPr>
          <w:sz w:val="22"/>
          <w:szCs w:val="22"/>
        </w:rPr>
        <w:t xml:space="preserve"> — 52 approved, 14 in review, 7 drafted, and </w:t>
      </w:r>
      <w:r>
        <w:rPr>
          <w:b/>
          <w:bCs/>
          <w:sz w:val="22"/>
          <w:szCs w:val="22"/>
        </w:rPr>
        <w:t xml:space="preserve">three missing</w:t>
      </w:r>
      <w:r>
        <w:rPr>
          <w:sz w:val="22"/>
          <w:szCs w:val="22"/>
        </w:rPr>
        <w:t xml:space="preserve">: the Process Performance Qualification report, the bioburden baseline study, and CTD section 3.2.P.3, the fill-finish process. The button on those rows is not "Open" — it is </w:t>
      </w:r>
      <w:r>
        <w:rPr>
          <w:b/>
          <w:bCs/>
          <w:sz w:val="22"/>
          <w:szCs w:val="22"/>
        </w:rPr>
        <w:t xml:space="preserve">"Chase"</w:t>
      </w:r>
      <w:r>
        <w:rPr>
          <w:sz w:val="22"/>
          <w:szCs w:val="22"/>
        </w:rPr>
        <w:t xml:space="preserve">.</w:t>
      </w:r>
    </w:p>
    <w:p>
      <w:pPr>
        <w:spacing w:after="130" w:line="300"/>
      </w:pPr>
      <w:r>
        <w:rPr>
          <w:sz w:val="22"/>
          <w:szCs w:val="22"/>
        </w:rPr>
        <w:t xml:space="preserve">Those are not three random gaps. That is the </w:t>
      </w:r>
      <w:r>
        <w:rPr>
          <w:b/>
          <w:bCs/>
          <w:sz w:val="22"/>
          <w:szCs w:val="22"/>
        </w:rPr>
        <w:t xml:space="preserve">same cancelled PPQ slot we started with</w:t>
      </w:r>
      <w:r>
        <w:rPr>
          <w:sz w:val="22"/>
          <w:szCs w:val="22"/>
        </w:rPr>
        <w:t xml:space="preserve">, showing up as the missing evidence for the CHMP dossier. The register is not a filing cabinet — it is the proof of the block, pointing at the same root cause from the other end.</w:t>
      </w:r>
    </w:p>
    <w:p>
      <w:pPr>
        <w:pStyle w:val="Heading1"/>
        <w:spacing w:after="160" w:before="360"/>
      </w:pPr>
      <w:r>
        <w:rPr>
          <w:b/>
          <w:bCs/>
          <w:color w:val="4B0082"/>
          <w:sz w:val="30"/>
          <w:szCs w:val="30"/>
        </w:rPr>
        <w:t xml:space="preserve">The close</w:t>
      </w:r>
    </w:p>
    <w:p>
      <w:pPr>
        <w:spacing w:after="130" w:line="300"/>
      </w:pPr>
      <w:r>
        <w:rPr>
          <w:sz w:val="22"/>
          <w:szCs w:val="22"/>
        </w:rPr>
        <w:t xml:space="preserve">George did not chase this and did not convene it. By nine in the morning the contract had been read, the alternative site found and checked, Quality had scoped the revalidation, Regulatory had named the real deadline, and three costed options were on screen with the work already written underneath each one.</w:t>
      </w:r>
    </w:p>
    <w:p>
      <w:pPr>
        <w:spacing w:after="130" w:line="300"/>
      </w:pPr>
      <w:r>
        <w:rPr>
          <w:sz w:val="22"/>
          <w:szCs w:val="22"/>
        </w:rPr>
        <w:t xml:space="preserve">Strip away the visuals and it is three things.</w:t>
      </w:r>
    </w:p>
    <w:p>
      <w:pPr>
        <w:pStyle w:val="ListParagraph"/>
        <w:numPr>
          <w:ilvl w:val="0"/>
          <w:numId w:val="2"/>
        </w:numPr>
        <w:spacing w:after="80"/>
      </w:pPr>
      <w:r>
        <w:rPr>
          <w:b/>
          <w:bCs/>
          <w:sz w:val="22"/>
          <w:szCs w:val="22"/>
        </w:rPr>
        <w:t xml:space="preserve">The signal arrived already worked up. </w:t>
      </w:r>
      <w:r>
        <w:rPr>
          <w:sz w:val="21"/>
          <w:szCs w:val="21"/>
        </w:rPr>
        <w:t xml:space="preserve">Not "there is a problem with Vetter" — a cancelled slot, a clause that says we have no claim, a qualified alternative, and the name of the constraint that actually binds.</w:t>
      </w:r>
    </w:p>
    <w:p>
      <w:pPr>
        <w:pStyle w:val="ListParagraph"/>
        <w:numPr>
          <w:ilvl w:val="0"/>
          <w:numId w:val="2"/>
        </w:numPr>
        <w:spacing w:after="80"/>
      </w:pPr>
      <w:r>
        <w:rPr>
          <w:b/>
          <w:bCs/>
          <w:sz w:val="22"/>
          <w:szCs w:val="22"/>
        </w:rPr>
        <w:t xml:space="preserve">Every action is orchestrated and attributed. </w:t>
      </w:r>
      <w:r>
        <w:rPr>
          <w:sz w:val="21"/>
          <w:szCs w:val="21"/>
        </w:rPr>
        <w:t xml:space="preserve">A named agent, one transaction, one system, inside a guardrail set in advance — and what must stay human is marked not delegable.</w:t>
      </w:r>
    </w:p>
    <w:p>
      <w:pPr>
        <w:pStyle w:val="ListParagraph"/>
        <w:numPr>
          <w:ilvl w:val="0"/>
          <w:numId w:val="2"/>
        </w:numPr>
        <w:spacing w:after="80"/>
      </w:pPr>
      <w:r>
        <w:rPr>
          <w:b/>
          <w:bCs/>
          <w:sz w:val="22"/>
          <w:szCs w:val="22"/>
        </w:rPr>
        <w:t xml:space="preserve">And the decision writes back. </w:t>
      </w:r>
      <w:r>
        <w:rPr>
          <w:sz w:val="21"/>
          <w:szCs w:val="21"/>
        </w:rPr>
        <w:t xml:space="preserve">Into Ariba, Veeva, Planisware and SAP, logged against the approval of the person who made it, reversible for 24 hours.</w:t>
      </w:r>
    </w:p>
    <w:p>
      <w:pPr>
        <w:spacing w:after="130" w:line="300"/>
      </w:pPr>
      <w:r>
        <w:rPr>
          <w:sz w:val="22"/>
          <w:szCs w:val="22"/>
        </w:rPr>
        <w:t xml:space="preserve">What is left is the part that was always George’s job: the judgment call. This process was always </w:t>
      </w:r>
      <w:r>
        <w:rPr>
          <w:i/>
          <w:iCs/>
          <w:sz w:val="22"/>
          <w:szCs w:val="22"/>
        </w:rPr>
        <w:t xml:space="preserve">supposed</w:t>
      </w:r>
      <w:r>
        <w:rPr>
          <w:sz w:val="22"/>
          <w:szCs w:val="22"/>
        </w:rPr>
        <w:t xml:space="preserve"> to be orchestrated. It just was not — because coordinating it by hand cost more than the delays did.</w:t>
      </w:r>
    </w:p>
    <w:p>
      <w:r>
        <w:br w:type="page"/>
      </w:r>
    </w:p>
    <w:p>
      <w:pPr>
        <w:pStyle w:val="Heading1"/>
        <w:spacing w:after="160" w:before="360"/>
      </w:pPr>
      <w:r>
        <w:rPr>
          <w:b/>
          <w:bCs/>
          <w:color w:val="4B0082"/>
          <w:sz w:val="30"/>
          <w:szCs w:val="30"/>
        </w:rPr>
        <w:t xml:space="preserve">Traps — read before you present</w:t>
      </w:r>
    </w:p>
    <w:p>
      <w:pPr>
        <w:pStyle w:val="ListParagraph"/>
        <w:numPr>
          <w:ilvl w:val="0"/>
          <w:numId w:val="2"/>
        </w:numPr>
        <w:spacing w:after="80"/>
      </w:pPr>
      <w:r>
        <w:rPr>
          <w:b/>
          <w:bCs/>
          <w:sz w:val="22"/>
          <w:szCs w:val="22"/>
        </w:rPr>
        <w:t xml:space="preserve">"Review actions" and "Execute plan" do not exist as buttons. </w:t>
      </w:r>
      <w:r>
        <w:rPr>
          <w:sz w:val="21"/>
          <w:szCs w:val="21"/>
        </w:rPr>
        <w:t xml:space="preserve">The real sequence is: Approve Option A (bottom bar) → Oversee plan → Run all 4 agent actions, or Ask agent to run on a single row → Dispatch and write. Say those words.</w:t>
      </w:r>
    </w:p>
    <w:p>
      <w:pPr>
        <w:pStyle w:val="ListParagraph"/>
        <w:numPr>
          <w:ilvl w:val="0"/>
          <w:numId w:val="2"/>
        </w:numPr>
        <w:spacing w:after="80"/>
      </w:pPr>
      <w:r>
        <w:rPr>
          <w:b/>
          <w:bCs/>
          <w:sz w:val="22"/>
          <w:szCs w:val="22"/>
        </w:rPr>
        <w:t xml:space="preserve">Milestone replan opens on PF-3945 / FDA at 42 days, not Berobenatide. </w:t>
      </w:r>
      <w:r>
        <w:rPr>
          <w:sz w:val="21"/>
          <w:szCs w:val="21"/>
        </w:rPr>
        <w:t xml:space="preserve">Select "Berobenatide · CHMP Opinion" from the Scenario row first; it then defaults to 35 days. If you forget, you will be narrating the wrong molecule.</w:t>
      </w:r>
    </w:p>
    <w:p>
      <w:pPr>
        <w:pStyle w:val="ListParagraph"/>
        <w:numPr>
          <w:ilvl w:val="0"/>
          <w:numId w:val="2"/>
        </w:numPr>
        <w:spacing w:after="80"/>
      </w:pPr>
      <w:r>
        <w:rPr>
          <w:b/>
          <w:bCs/>
          <w:sz w:val="22"/>
          <w:szCs w:val="22"/>
        </w:rPr>
        <w:t xml:space="preserve">The action-plan counter always reads "0 of 7 done". </w:t>
      </w:r>
      <w:r>
        <w:rPr>
          <w:sz w:val="21"/>
          <w:szCs w:val="21"/>
        </w:rPr>
        <w:t xml:space="preserve">That zero is hardcoded and never increments, even after writes succeed. Track progress on the row status chips ("Written") instead, and do not read the counter aloud after executing.</w:t>
      </w:r>
    </w:p>
    <w:p>
      <w:pPr>
        <w:pStyle w:val="ListParagraph"/>
        <w:numPr>
          <w:ilvl w:val="0"/>
          <w:numId w:val="2"/>
        </w:numPr>
        <w:spacing w:after="80"/>
      </w:pPr>
      <w:r>
        <w:rPr>
          <w:b/>
          <w:bCs/>
          <w:sz w:val="22"/>
          <w:szCs w:val="22"/>
        </w:rPr>
        <w:t xml:space="preserve">Two names for the same gate. </w:t>
      </w:r>
      <w:r>
        <w:rPr>
          <w:sz w:val="21"/>
          <w:szCs w:val="21"/>
        </w:rPr>
        <w:t xml:space="preserve">The header says "G3 — DS Released"; some free text underneath still says "G3 Submission Commit". Same gate. Do not draw attention to it.</w:t>
      </w:r>
    </w:p>
    <w:p>
      <w:pPr>
        <w:pStyle w:val="ListParagraph"/>
        <w:numPr>
          <w:ilvl w:val="0"/>
          <w:numId w:val="2"/>
        </w:numPr>
        <w:spacing w:after="80"/>
      </w:pPr>
      <w:r>
        <w:rPr>
          <w:b/>
          <w:bCs/>
          <w:sz w:val="22"/>
          <w:szCs w:val="22"/>
        </w:rPr>
        <w:t xml:space="preserve">George’s title differs by screen. </w:t>
      </w:r>
      <w:r>
        <w:rPr>
          <w:sz w:val="21"/>
          <w:szCs w:val="21"/>
        </w:rPr>
        <w:t xml:space="preserve">The landing page says "NPI Senior Manager", the assign modal says "Global NPI Lead". Say "senior manager on the NPI team" and you are consistent with both.</w:t>
      </w:r>
    </w:p>
    <w:p>
      <w:pPr>
        <w:pStyle w:val="ListParagraph"/>
        <w:numPr>
          <w:ilvl w:val="0"/>
          <w:numId w:val="2"/>
        </w:numPr>
        <w:spacing w:after="80"/>
      </w:pPr>
      <w:r>
        <w:rPr>
          <w:b/>
          <w:bCs/>
          <w:sz w:val="22"/>
          <w:szCs w:val="22"/>
        </w:rPr>
        <w:t xml:space="preserve">The "GB" avatar on Option C’s first task is the Governance board</w:t>
      </w:r>
      <w:r>
        <w:rPr>
          <w:sz w:val="21"/>
          <w:szCs w:val="21"/>
        </w:rPr>
        <w:t xml:space="preserve">, not George Hall (he is GH). Do not say "that’s George."</w:t>
      </w:r>
    </w:p>
    <w:p>
      <w:pPr>
        <w:pStyle w:val="ListParagraph"/>
        <w:numPr>
          <w:ilvl w:val="0"/>
          <w:numId w:val="2"/>
        </w:numPr>
        <w:spacing w:after="80"/>
      </w:pPr>
      <w:r>
        <w:rPr>
          <w:b/>
          <w:bCs/>
          <w:sz w:val="22"/>
          <w:szCs w:val="22"/>
        </w:rPr>
        <w:t xml:space="preserve">Quality disruption and Demand &amp; wave change tabs have been removed </w:t>
      </w:r>
      <w:r>
        <w:rPr>
          <w:sz w:val="21"/>
          <w:szCs w:val="21"/>
        </w:rPr>
        <w:t xml:space="preserve">from the Pipeline nav for this walkthrough. The Guided demo button still offers those two scenarios — do not open it by accident.</w:t>
      </w:r>
    </w:p>
    <w:p>
      <w:pPr>
        <w:pStyle w:val="ListParagraph"/>
        <w:numPr>
          <w:ilvl w:val="0"/>
          <w:numId w:val="2"/>
        </w:numPr>
        <w:spacing w:after="80"/>
      </w:pPr>
      <w:r>
        <w:rPr>
          <w:b/>
          <w:bCs/>
          <w:sz w:val="22"/>
          <w:szCs w:val="22"/>
        </w:rPr>
        <w:t xml:space="preserve">Dates on action rows can display a day earlier </w:t>
      </w:r>
      <w:r>
        <w:rPr>
          <w:sz w:val="21"/>
          <w:szCs w:val="21"/>
        </w:rPr>
        <w:t xml:space="preserve">than the underlying data (timezone handling). Say what is on screen.</w:t>
      </w:r>
    </w:p>
    <w:p>
      <w:pPr>
        <w:pStyle w:val="ListParagraph"/>
        <w:numPr>
          <w:ilvl w:val="0"/>
          <w:numId w:val="2"/>
        </w:numPr>
        <w:spacing w:after="80"/>
      </w:pPr>
      <w:r>
        <w:rPr>
          <w:b/>
          <w:bCs/>
          <w:sz w:val="22"/>
          <w:szCs w:val="22"/>
        </w:rPr>
        <w:t xml:space="preserve">Do not refresh the browser mid-demo. </w:t>
      </w:r>
      <w:r>
        <w:rPr>
          <w:sz w:val="21"/>
          <w:szCs w:val="21"/>
        </w:rPr>
        <w:t xml:space="preserve">A reload rewinds every decision.</w:t>
      </w:r>
    </w:p>
    <w:p>
      <w:pPr>
        <w:pStyle w:val="ListParagraph"/>
        <w:numPr>
          <w:ilvl w:val="0"/>
          <w:numId w:val="2"/>
        </w:numPr>
        <w:spacing w:after="80"/>
      </w:pPr>
      <w:r>
        <w:rPr>
          <w:b/>
          <w:bCs/>
          <w:sz w:val="22"/>
          <w:szCs w:val="22"/>
        </w:rPr>
        <w:t xml:space="preserve">Portfolio-level KPI figures are computed live </w:t>
      </w:r>
      <w:r>
        <w:rPr>
          <w:sz w:val="21"/>
          <w:szCs w:val="21"/>
        </w:rPr>
        <w:t xml:space="preserve">and depend on what is loaded. Glance at the tiles and read the real numbers rather than reciting them.</w:t>
      </w:r>
    </w:p>
    <w:p>
      <w:pPr>
        <w:pStyle w:val="Heading1"/>
        <w:spacing w:after="160" w:before="360"/>
      </w:pPr>
      <w:r>
        <w:rPr>
          <w:b/>
          <w:bCs/>
          <w:color w:val="4B0082"/>
          <w:sz w:val="30"/>
          <w:szCs w:val="30"/>
        </w:rPr>
        <w:t xml:space="preserve">If you get asked</w:t>
      </w:r>
    </w:p>
    <w:p>
      <w:pPr>
        <w:spacing w:after="40" w:before="140"/>
      </w:pPr>
      <w:r>
        <w:rPr>
          <w:b/>
          <w:bCs/>
          <w:color w:val="4B0082"/>
          <w:sz w:val="21"/>
          <w:szCs w:val="21"/>
        </w:rPr>
        <w:t xml:space="preserve">Is the data real?</w:t>
      </w:r>
    </w:p>
    <w:p>
      <w:pPr>
        <w:spacing w:after="60"/>
      </w:pPr>
      <w:r>
        <w:rPr>
          <w:sz w:val="21"/>
          <w:szCs w:val="21"/>
        </w:rPr>
        <w:t xml:space="preserve">No — it is synthetic, built for this session. The shape of the process, the gate ladder and the source systems are real.</w:t>
      </w:r>
    </w:p>
    <w:p>
      <w:pPr>
        <w:spacing w:after="40" w:before="140"/>
      </w:pPr>
      <w:r>
        <w:rPr>
          <w:b/>
          <w:bCs/>
          <w:color w:val="4B0082"/>
          <w:sz w:val="21"/>
          <w:szCs w:val="21"/>
        </w:rPr>
        <w:t xml:space="preserve">Can the agent decide on its own?</w:t>
      </w:r>
    </w:p>
    <w:p>
      <w:pPr>
        <w:spacing w:after="60"/>
      </w:pPr>
      <w:r>
        <w:rPr>
          <w:sz w:val="21"/>
          <w:szCs w:val="21"/>
        </w:rPr>
        <w:t xml:space="preserve">No. It can run an action inside a guardrail — one named transaction, in one named system, reversible for 24 hours. The decision itself is signed by a person. The guardrail box on the dispatch modal is the literal statement of that.</w:t>
      </w:r>
    </w:p>
    <w:p>
      <w:pPr>
        <w:spacing w:after="40" w:before="140"/>
      </w:pPr>
      <w:r>
        <w:rPr>
          <w:b/>
          <w:bCs/>
          <w:color w:val="4B0082"/>
          <w:sz w:val="21"/>
          <w:szCs w:val="21"/>
        </w:rPr>
        <w:t xml:space="preserve">What stopped the agent approving this one?</w:t>
      </w:r>
    </w:p>
    <w:p>
      <w:pPr>
        <w:spacing w:after="60"/>
      </w:pPr>
      <w:r>
        <w:rPr>
          <w:sz w:val="21"/>
          <w:szCs w:val="21"/>
        </w:rPr>
        <w:t xml:space="preserve">The authority threshold on this decision is €250k and no gate move. Option A is €340k and shifts G3 by nine days — it breaches both, so it routes to a human. The tool checked and said so.</w:t>
      </w:r>
    </w:p>
    <w:p>
      <w:pPr>
        <w:spacing w:after="40" w:before="140"/>
      </w:pPr>
      <w:r>
        <w:rPr>
          <w:b/>
          <w:bCs/>
          <w:color w:val="4B0082"/>
          <w:sz w:val="21"/>
          <w:szCs w:val="21"/>
        </w:rPr>
        <w:t xml:space="preserve">What if the write to SAP fails?</w:t>
      </w:r>
    </w:p>
    <w:p>
      <w:pPr>
        <w:spacing w:after="60"/>
      </w:pPr>
      <w:r>
        <w:rPr>
          <w:sz w:val="21"/>
          <w:szCs w:val="21"/>
        </w:rPr>
        <w:t xml:space="preserve">The action carries its own status — it is not marked done until the write is confirmed, and the decision record keeps the audit trail either way.</w:t>
      </w:r>
    </w:p>
    <w:p>
      <w:pPr>
        <w:spacing w:after="40" w:before="140"/>
      </w:pPr>
      <w:r>
        <w:rPr>
          <w:b/>
          <w:bCs/>
          <w:color w:val="4B0082"/>
          <w:sz w:val="21"/>
          <w:szCs w:val="21"/>
        </w:rPr>
        <w:t xml:space="preserve">How did the agent know Siegfried was available?</w:t>
      </w:r>
    </w:p>
    <w:p>
      <w:pPr>
        <w:spacing w:after="60"/>
      </w:pPr>
      <w:r>
        <w:rPr>
          <w:sz w:val="21"/>
          <w:szCs w:val="21"/>
        </w:rPr>
        <w:t xml:space="preserve">Approval status and the audit date are fields on the supplier master; "already qualified" is a row in the qualification register; the clause, notice period and no-penalty flag come from the contract export. The capacity window itself was confirmed with the site — the systems tell you who is allowed to make it, a conversation tells you when they are free.</w:t>
      </w:r>
    </w:p>
    <w:p>
      <w:pPr>
        <w:spacing w:after="40" w:before="140"/>
      </w:pPr>
      <w:r>
        <w:rPr>
          <w:b/>
          <w:bCs/>
          <w:color w:val="4B0082"/>
          <w:sz w:val="21"/>
          <w:szCs w:val="21"/>
        </w:rPr>
        <w:t xml:space="preserve">Who can the work go to?</w:t>
      </w:r>
    </w:p>
    <w:p>
      <w:pPr>
        <w:spacing w:after="60"/>
      </w:pPr>
      <w:r>
        <w:rPr>
          <w:sz w:val="21"/>
          <w:szCs w:val="21"/>
        </w:rPr>
        <w:t xml:space="preserve">Any named colleague in the roster, searchable by name, role or initials. The Launch Board is deliberately not in that list — it is a body you escalate to, not a person you assign work to.</w:t>
      </w:r>
    </w:p>
    <w:p>
      <w:pPr>
        <w:spacing w:after="40" w:before="140"/>
      </w:pPr>
      <w:r>
        <w:rPr>
          <w:b/>
          <w:bCs/>
          <w:color w:val="4B0082"/>
          <w:sz w:val="21"/>
          <w:szCs w:val="21"/>
        </w:rPr>
        <w:t xml:space="preserve">Can we see the guardrail checks?</w:t>
      </w:r>
    </w:p>
    <w:p>
      <w:pPr>
        <w:spacing w:after="60"/>
      </w:pPr>
      <w:r>
        <w:rPr>
          <w:sz w:val="21"/>
          <w:szCs w:val="21"/>
        </w:rPr>
        <w:t xml:space="preserve">Yes — six checks ran against this decision, all passed: does the gate date move, is the spend within authority, is the second site approved and audit-current, is the modality unchanged, does the CHMP window hold, is the action reversible and logged.</w:t>
      </w:r>
    </w:p>
    <w:p>
      <w:pPr>
        <w:spacing w:after="40" w:before="140"/>
      </w:pPr>
      <w:r>
        <w:rPr>
          <w:b/>
          <w:bCs/>
          <w:color w:val="4B0082"/>
          <w:sz w:val="21"/>
          <w:szCs w:val="21"/>
        </w:rPr>
        <w:t xml:space="preserve">Where did the +47 days come from?</w:t>
      </w:r>
    </w:p>
    <w:p>
      <w:pPr>
        <w:spacing w:after="60"/>
      </w:pPr>
      <w:r>
        <w:rPr>
          <w:sz w:val="21"/>
          <w:szCs w:val="21"/>
        </w:rPr>
        <w:t xml:space="preserve">A Planisware gate extract. You can trace it row by row in the lineage view if they want to see it.</w:t>
      </w:r>
    </w:p>
    <w:sectPr>
      <w:pgSz w:w="11906" w:h="16838" w:orient="portrait"/>
      <w:pgMar w:top="1152" w:right="1296" w:bottom="1152"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2026-09-29T11:08:41.343Z</dcterms:created>
  <dcterms:modified xsi:type="dcterms:W3CDTF">2026-09-29T11:08:41.345Z</dcterms:modified>
</cp:coreProperties>
</file>

<file path=docProps/custom.xml><?xml version="1.0" encoding="utf-8"?>
<Properties xmlns="http://schemas.openxmlformats.org/officeDocument/2006/custom-properties" xmlns:vt="http://schemas.openxmlformats.org/officeDocument/2006/docPropsVTypes"/>
</file>