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800"/>
      </w:pPr>
      <w:r>
        <w:t xml:space="preserve">DEPT Canvas</w:t>
      </w:r>
    </w:p>
    <w:p>
      <w:pPr>
        <w:spacing w:after="60"/>
      </w:pPr>
      <w:r>
        <w:rPr>
          <w:color w:val="5F5E5A"/>
          <w:sz w:val="30"/>
          <w:szCs w:val="30"/>
        </w:rPr>
        <w:t xml:space="preserve">Complete architecture &amp; engineering specification</w:t>
      </w:r>
    </w:p>
    <w:p>
      <w:pPr>
        <w:spacing w:after="40"/>
      </w:pPr>
      <w:r>
        <w:rPr>
          <w:i/>
          <w:iCs/>
          <w:color w:val="5F5E5A"/>
          <w:sz w:val="22"/>
          <w:szCs w:val="22"/>
        </w:rPr>
        <w:t xml:space="preserve">An AI-orchestrated platform for authoring, varying, and rendering enterprise creative</w:t>
      </w:r>
    </w:p>
    <w:p>
      <w:pPr>
        <w:spacing w:before="240"/>
      </w:pPr>
      <w:r>
        <w:rPr>
          <w:color w:val="5F5E5A"/>
          <w:sz w:val="20"/>
          <w:szCs w:val="20"/>
        </w:rPr>
        <w:t xml:space="preserve">Version 1.0 — consolidated working draft</w:t>
      </w:r>
    </w:p>
    <w:p>
      <w:r>
        <w:rPr>
          <w:color w:val="5F5E5A"/>
          <w:sz w:val="20"/>
          <w:szCs w:val="20"/>
        </w:rPr>
        <w:t xml:space="preserve">Prepared for the Claude Code build team</w:t>
      </w:r>
    </w:p>
    <w:p>
      <w:r>
        <w:rPr>
          <w:color w:val="5F5E5A"/>
          <w:sz w:val="20"/>
          <w:szCs w:val="20"/>
        </w:rPr>
        <w:t xml:space="preserve">Confidential — internal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DEPT Canvas is an enterprise creative platform that combines a professional, After Effects–style editing engine with an AI agent layer that authors editable projects rather than finished renders. A creative provides a brief; an AI planner drafts an animation plan grounded in motion-design best practices; an authoring agent builds a real, layered scene file the creative can hand-tune. Once a master is approved, selected layers are designated AI-variable while positions, logo, brand colour, and safe zones are locked as deterministic code. The platform then fans the master out into hundreds of on-brand variations across sizes, durations, and generated content. Every step passes through a four-stage safety pipeline and writes to an immutable audit trail.</w:t>
      </w:r>
    </w:p>
    <w:p>
      <w:pPr>
        <w:spacing w:after="140" w:line="276"/>
      </w:pPr>
      <w:r>
        <w:t xml:space="preserve">The platform is built on three technology pillars: IMG.LY’s CE.SDK provides the cross-platform rendering engine, timeline, layers, and a programmatic scene/block API; the OpenAI Agents SDK orchestrates the multi-agent workflow; and OpenAI models perform asset generation. The deployment model is multi-tenant with strict per-client isolation — a shared, stateless control plane for identity and orchestration, and a fully siloed data plane (dedicated renderer, database, and asset storage) per client — hosted on Google Cloud Platform.</w:t>
      </w:r>
    </w:p>
    <w:p>
      <w:pPr>
        <w:spacing w:after="140" w:line="276"/>
      </w:pPr>
      <w:r>
        <w:t xml:space="preserve">This document is the single, consolidated reference for the build. It states the idea and its rationale, the product concept, the full system architecture, the engineering specification of each component, and the enterprise concerns: SSO and login, account and API separation, multi-tenancy, security, and safety governance. It supersedes earlier partial drafts.</w:t>
      </w:r>
    </w:p>
    <w:p>
      <w:pPr>
        <w:pStyle w:val="Heading2"/>
      </w:pPr>
      <w:r>
        <w:t xml:space="preserve">1.1 What makes this different</w:t>
      </w:r>
    </w:p>
    <w:p>
      <w:pPr>
        <w:pStyle w:val="ListParagraph"/>
        <w:numPr>
          <w:ilvl w:val="0"/>
          <w:numId w:val="2"/>
        </w:numPr>
        <w:spacing w:after="70" w:line="270"/>
      </w:pPr>
      <w:r>
        <w:rPr>
          <w:b/>
          <w:bCs/>
        </w:rPr>
        <w:t xml:space="preserve">Editable output, not baked pixels. </w:t>
      </w:r>
      <w:r>
        <w:t xml:space="preserve">The AI returns a live, layered project; a typical AI video tool returns a flat MP4 that cannot be refined.</w:t>
      </w:r>
    </w:p>
    <w:p>
      <w:pPr>
        <w:pStyle w:val="ListParagraph"/>
        <w:numPr>
          <w:ilvl w:val="0"/>
          <w:numId w:val="2"/>
        </w:numPr>
        <w:spacing w:after="70" w:line="270"/>
      </w:pPr>
      <w:r>
        <w:rPr>
          <w:b/>
          <w:bCs/>
        </w:rPr>
        <w:t xml:space="preserve">Craft governance. </w:t>
      </w:r>
      <w:r>
        <w:t xml:space="preserve">A real timeline, layers, masks, and keyframes give the control of professional tools, sourced from CE.SDK rather than rebuilt.</w:t>
      </w:r>
    </w:p>
    <w:p>
      <w:pPr>
        <w:pStyle w:val="ListParagraph"/>
        <w:numPr>
          <w:ilvl w:val="0"/>
          <w:numId w:val="2"/>
        </w:numPr>
        <w:spacing w:after="70" w:line="270"/>
      </w:pPr>
      <w:r>
        <w:rPr>
          <w:b/>
          <w:bCs/>
        </w:rPr>
        <w:t xml:space="preserve">Locks as code, not suggestions. </w:t>
      </w:r>
      <w:r>
        <w:t xml:space="preserve">Brand-critical properties are enforced constraints the AI physically cannot write to.</w:t>
      </w:r>
    </w:p>
    <w:p>
      <w:pPr>
        <w:pStyle w:val="ListParagraph"/>
        <w:numPr>
          <w:ilvl w:val="0"/>
          <w:numId w:val="2"/>
        </w:numPr>
        <w:spacing w:after="70" w:line="270"/>
      </w:pPr>
      <w:r>
        <w:rPr>
          <w:b/>
          <w:bCs/>
        </w:rPr>
        <w:t xml:space="preserve">Scaled, on-brand variation. </w:t>
      </w:r>
      <w:r>
        <w:t xml:space="preserve">One approved master becomes hundreds of compliant variants across formats and generated content.</w:t>
      </w:r>
    </w:p>
    <w:p>
      <w:pPr>
        <w:pStyle w:val="ListParagraph"/>
        <w:numPr>
          <w:ilvl w:val="0"/>
          <w:numId w:val="2"/>
        </w:numPr>
        <w:spacing w:after="70" w:line="270"/>
      </w:pPr>
      <w:r>
        <w:rPr>
          <w:b/>
          <w:bCs/>
        </w:rPr>
        <w:t xml:space="preserve">Enterprise by construction. </w:t>
      </w:r>
      <w:r>
        <w:t xml:space="preserve">Per-client isolation, SSO, RBAC, a four-checkpoint safety pipeline, and a complete audit trail.</w:t>
      </w:r>
    </w:p>
    <w:p>
      <w:pPr>
        <w:pStyle w:val="Heading1"/>
      </w:pPr>
      <w:r>
        <w:t xml:space="preserve">2. The idea and its rationale</w:t>
      </w:r>
    </w:p>
    <w:p>
      <w:pPr>
        <w:pStyle w:val="Heading2"/>
      </w:pPr>
      <w:r>
        <w:t xml:space="preserve">2.1 The problem</w:t>
      </w:r>
    </w:p>
    <w:p>
      <w:pPr>
        <w:spacing w:after="140" w:line="276"/>
      </w:pPr>
      <w:r>
        <w:t xml:space="preserve">Paid-media campaigns need large volumes of on-brand creative across many formats, sizes, and durations, refreshed constantly. Two existing approaches each fail differently. Manual production in After Effects and Photoshop yields full creative control and brand fidelity, but does not scale to the volume modern paid media demands. Pure generative-AI tools scale effortlessly but output flat, un-editable renders with no brand governance — when a result is 90% right, the creative is stuck re-rolling a prompt rather than nudging a keyframe.</w:t>
      </w:r>
    </w:p>
    <w:p>
      <w:pPr>
        <w:pStyle w:val="Heading2"/>
      </w:pPr>
      <w:r>
        <w:t xml:space="preserve">2.2 The insight</w:t>
      </w:r>
    </w:p>
    <w:p>
      <w:pPr>
        <w:spacing w:after="140" w:line="276"/>
      </w:pPr>
      <w:r>
        <w:t xml:space="preserve">The hardest, least differentiated part of a creative platform — a professional, cross-platform rendering engine with a real timeline, layers, masks, keyframes, and multi-format export — already exists in CE.SDK and runs client-side. The differentiated value an agency adds sits around that engine: AI workflows that produce editable projects, brand governance that is enforced rather than hoped for, and scaled variant production tied to the paid-media stack. Building on CE.SDK lets engineering effort go entirely into that value layer instead of re-implementing an editor.</w:t>
      </w:r>
    </w:p>
    <w:p>
      <w:pPr>
        <w:pStyle w:val="Heading2"/>
      </w:pPr>
      <w:r>
        <w:t xml:space="preserve">2.3 Why now</w:t>
      </w:r>
    </w:p>
    <w:p>
      <w:pPr>
        <w:spacing w:after="140" w:line="276"/>
      </w:pPr>
      <w:r>
        <w:t xml:space="preserve">Two capabilities matured at once. CE.SDK exposes a programmatic scene/block API that lets software author editable scene files, not just render them. And the OpenAI Agents SDK plus the Model Context Protocol (MCP) standardise how an AI agent can call external tools. Together they make it possible for an agent to author a professional project file tool-call-by-tool-call — which is the core mechanism of this platform.</w:t>
      </w:r>
    </w:p>
    <w:p>
      <w:pPr>
        <w:pStyle w:val="Heading1"/>
      </w:pPr>
      <w:r>
        <w:t xml:space="preserve">3. Product concept</w:t>
      </w:r>
    </w:p>
    <w:p>
      <w:pPr>
        <w:pStyle w:val="Heading2"/>
      </w:pPr>
      <w:r>
        <w:t xml:space="preserve">3.1 The core shift: editable projects, not rendered output</w:t>
      </w:r>
    </w:p>
    <w:p>
      <w:pPr>
        <w:spacing w:after="140" w:line="276"/>
      </w:pPr>
      <w:r>
        <w:t xml:space="preserve">A typical AI video tool is a vending machine — prompt in, finished MP4 out. DEPT Canvas instead returns a live scene file: named layers, keyframes, and tracks the AI authored, opened in the editor for refinement. Generation is woven into the canvas; every AI action lands as an editable layer rather than baked pixels. Even AI-generated media (a background, an image-to-video clip) arrives as a fill on a block, so it can be swapped, masked, or recoloured afterwards.</w:t>
      </w:r>
    </w:p>
    <w:p>
      <w:pPr>
        <w:pStyle w:val="Heading2"/>
      </w:pPr>
      <w:r>
        <w:t xml:space="preserve">3.2 The end-to-end arc</w:t>
      </w:r>
    </w:p>
    <w:p>
      <w:pPr>
        <w:pStyle w:val="ListParagraph"/>
        <w:numPr>
          <w:ilvl w:val="0"/>
          <w:numId w:val="3"/>
        </w:numPr>
        <w:spacing w:after="90" w:line="270"/>
      </w:pPr>
      <w:r>
        <w:t xml:space="preserve">Brief — goal, brand, assets, target format.</w:t>
      </w:r>
    </w:p>
    <w:p>
      <w:pPr>
        <w:pStyle w:val="ListParagraph"/>
        <w:numPr>
          <w:ilvl w:val="0"/>
          <w:numId w:val="3"/>
        </w:numPr>
        <w:spacing w:after="90" w:line="270"/>
      </w:pPr>
      <w:r>
        <w:t xml:space="preserve">Plan — the AI planner drafts a structured animation plan (scenes, layers, timing, easing) applying motion-design best practices; the creative approves or edits it before anything is built.</w:t>
      </w:r>
    </w:p>
    <w:p>
      <w:pPr>
        <w:pStyle w:val="ListParagraph"/>
        <w:numPr>
          <w:ilvl w:val="0"/>
          <w:numId w:val="3"/>
        </w:numPr>
        <w:spacing w:after="90" w:line="270"/>
      </w:pPr>
      <w:r>
        <w:t xml:space="preserve">Author — the authoring agent executes the plan via scene-authoring tools, producing an editable .scene file.</w:t>
      </w:r>
    </w:p>
    <w:p>
      <w:pPr>
        <w:pStyle w:val="ListParagraph"/>
        <w:numPr>
          <w:ilvl w:val="0"/>
          <w:numId w:val="3"/>
        </w:numPr>
        <w:spacing w:after="90" w:line="270"/>
      </w:pPr>
      <w:r>
        <w:t xml:space="preserve">Refine — a human tunes layers and keyframes in the editor and approves the master.</w:t>
      </w:r>
    </w:p>
    <w:p>
      <w:pPr>
        <w:pStyle w:val="ListParagraph"/>
        <w:numPr>
          <w:ilvl w:val="0"/>
          <w:numId w:val="3"/>
        </w:numPr>
        <w:spacing w:after="90" w:line="270"/>
      </w:pPr>
      <w:r>
        <w:t xml:space="preserve">Constrain — the creative marks which layers are AI-variable; positions, logo, colour, and safe zones are locked as code.</w:t>
      </w:r>
    </w:p>
    <w:p>
      <w:pPr>
        <w:pStyle w:val="ListParagraph"/>
        <w:numPr>
          <w:ilvl w:val="0"/>
          <w:numId w:val="3"/>
        </w:numPr>
        <w:spacing w:after="90" w:line="270"/>
      </w:pPr>
      <w:r>
        <w:t xml:space="preserve">Vary — the variation engine fans the master out across sizes, durations, copy, and generated content.</w:t>
      </w:r>
    </w:p>
    <w:p>
      <w:pPr>
        <w:pStyle w:val="ListParagraph"/>
        <w:numPr>
          <w:ilvl w:val="0"/>
          <w:numId w:val="3"/>
        </w:numPr>
        <w:spacing w:after="90" w:line="270"/>
      </w:pPr>
      <w:r>
        <w:t xml:space="preserve">Review &amp; release — variations pass the safety pipeline and a human approval gate, then push to delivery destinations.</w:t>
      </w:r>
    </w:p>
    <w:p>
      <w:pPr>
        <w:pStyle w:val="Heading2"/>
      </w:pPr>
      <w:r>
        <w:t xml:space="preserve">3.3 Generation controls (simple / advanced)</w:t>
      </w:r>
    </w:p>
    <w:p>
      <w:pPr>
        <w:spacing w:after="140" w:line="276"/>
      </w:pPr>
      <w:r>
        <w:t xml:space="preserve">Generation exposes two modes, modelled on the simple/custom split familiar from modern AI tools. Neither mode can write to locked layers; controls only steer variable layers.</w:t>
      </w:r>
    </w:p>
    <w:p>
      <w:pPr>
        <w:pStyle w:val="Heading3"/>
      </w:pPr>
      <w:r>
        <w:t xml:space="preserve">Simple mode</w:t>
      </w:r>
    </w:p>
    <w:p>
      <w:pPr>
        <w:pStyle w:val="ListParagraph"/>
        <w:numPr>
          <w:ilvl w:val="0"/>
          <w:numId w:val="2"/>
        </w:numPr>
        <w:spacing w:after="70" w:line="270"/>
      </w:pPr>
      <w:r>
        <w:t xml:space="preserve">A single prompt box describing what to make.</w:t>
      </w:r>
    </w:p>
    <w:p>
      <w:pPr>
        <w:pStyle w:val="ListParagraph"/>
        <w:numPr>
          <w:ilvl w:val="0"/>
          <w:numId w:val="2"/>
        </w:numPr>
        <w:spacing w:after="70" w:line="270"/>
      </w:pPr>
      <w:r>
        <w:t xml:space="preserve">A tone selector (bold, playful, premium, minimal, energetic, warm).</w:t>
      </w:r>
    </w:p>
    <w:p>
      <w:pPr>
        <w:pStyle w:val="ListParagraph"/>
        <w:numPr>
          <w:ilvl w:val="0"/>
          <w:numId w:val="2"/>
        </w:numPr>
        <w:spacing w:after="70" w:line="270"/>
      </w:pPr>
      <w:r>
        <w:t xml:space="preserve">Brand kit, fonts, and locked layers are inherited automatically and not surfaced.</w:t>
      </w:r>
    </w:p>
    <w:p>
      <w:pPr>
        <w:pStyle w:val="Heading3"/>
      </w:pPr>
      <w:r>
        <w:t xml:space="preserve">Advanced mode</w:t>
      </w:r>
    </w:p>
    <w:p>
      <w:pPr>
        <w:spacing w:after="140" w:line="276"/>
      </w:pPr>
      <w:r>
        <w:t xml:space="preserve">Advanced controls are structured fields the agents read as rules, not freeform text. A character cap is a validation the authoring agent enforces and regenerates against, exactly like the lock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Control</w:t>
            </w:r>
          </w:p>
        </w:tc>
        <w:tc>
          <w:tcPr>
            <w:tcW w:type="dxa" w:w="62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Purpose</w:t>
            </w:r>
          </w:p>
        </w:tc>
      </w:tr>
      <w:tr>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Prompt</w:t>
            </w:r>
          </w:p>
        </w:tc>
        <w:tc>
          <w:tcPr>
            <w:tcW w:type="dxa" w:w="6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Primary creative direction.</w:t>
            </w:r>
          </w:p>
        </w:tc>
      </w:tr>
      <w:tr>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Contextual guidance</w:t>
            </w:r>
          </w:p>
        </w:tc>
        <w:tc>
          <w:tcPr>
            <w:tcW w:type="dxa" w:w="62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Audience, emphasis, things to avoid.</w:t>
            </w:r>
          </w:p>
        </w:tc>
      </w:tr>
      <w:tr>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Tone (multi-select)</w:t>
            </w:r>
          </w:p>
        </w:tc>
        <w:tc>
          <w:tcPr>
            <w:tcW w:type="dxa" w:w="6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One or more tone tags applied to copy and visual style.</w:t>
            </w:r>
          </w:p>
        </w:tc>
      </w:tr>
      <w:tr>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Character limits</w:t>
            </w:r>
          </w:p>
        </w:tc>
        <w:tc>
          <w:tcPr>
            <w:tcW w:type="dxa" w:w="62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Hard caps per text field; copy regenerates if exceeded.</w:t>
            </w:r>
          </w:p>
        </w:tc>
      </w:tr>
      <w:tr>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Negative keywords</w:t>
            </w:r>
          </w:p>
        </w:tc>
        <w:tc>
          <w:tcPr>
            <w:tcW w:type="dxa" w:w="62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Terms excluded from copy and image prompts (competitors, banned claims).</w:t>
            </w:r>
          </w:p>
        </w:tc>
      </w:tr>
      <w:tr>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Reference / style pins</w:t>
            </w:r>
          </w:p>
        </w:tc>
        <w:tc>
          <w:tcPr>
            <w:tcW w:type="dxa" w:w="62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Reference images plus a style-strength slider.</w:t>
            </w:r>
          </w:p>
        </w:tc>
      </w:tr>
    </w:tbl>
    <w:p>
      <w:pPr>
        <w:pStyle w:val="Heading2"/>
      </w:pPr>
      <w:r>
        <w:t xml:space="preserve">3.4 The locking model: AI versus code</w:t>
      </w:r>
    </w:p>
    <w:p>
      <w:pPr>
        <w:spacing w:after="140" w:line="276"/>
      </w:pPr>
      <w:r>
        <w:t xml:space="preserve">Once a layer is locked, it is no longer a generative decision — it is a deterministic constraint enforced in code. Frozen properties (logo position and asset, CTA placement and colour, brand palette, safe-zone margins) are compiled into each render job as hard constraints. The variation engine has no write access to them; the AI’s action space shrinks to the variable fields. This is the platform’s primary brand-safety primitive: a brand manager can guarantee the logo will never move because moving it is not a capability the system possesses at variation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Layer state</w:t>
            </w:r>
          </w:p>
        </w:tc>
        <w:tc>
          <w:tcPr>
            <w:tcW w:type="dxa" w:w="29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Controlled by</w:t>
            </w:r>
          </w:p>
        </w:tc>
        <w:tc>
          <w:tcPr>
            <w:tcW w:type="dxa" w:w="38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Example</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Brand-locked</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Code — immutable</w:t>
            </w:r>
          </w:p>
        </w:tc>
        <w:tc>
          <w:tcPr>
            <w:tcW w:type="dxa" w:w="38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Logo lockup, CTA position, brand palette, safe zones</w:t>
            </w:r>
          </w:p>
        </w:tc>
      </w:tr>
      <w:tr>
        <w:tc>
          <w:tcPr>
            <w:tcW w:type="dxa" w:w="26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Fixed</w:t>
            </w:r>
          </w:p>
        </w:tc>
        <w:tc>
          <w:tcPr>
            <w:tcW w:type="dxa" w:w="29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Author — set once, not varied</w:t>
            </w:r>
          </w:p>
        </w:tc>
        <w:tc>
          <w:tcPr>
            <w:tcW w:type="dxa" w:w="38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 specific hero product shot</w:t>
            </w:r>
          </w:p>
        </w:tc>
      </w:tr>
      <w:tr>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AI-variable</w:t>
            </w:r>
          </w:p>
        </w:tc>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AI — within constraints</w:t>
            </w:r>
          </w:p>
        </w:tc>
        <w:tc>
          <w:tcPr>
            <w:tcW w:type="dxa" w:w="38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Headline copy, generated background</w:t>
            </w:r>
          </w:p>
        </w:tc>
      </w:tr>
    </w:tbl>
    <w:p>
      <w:r>
        <w:br w:type="page"/>
      </w:r>
    </w:p>
    <w:p>
      <w:pPr>
        <w:pStyle w:val="Heading1"/>
      </w:pPr>
      <w:r>
        <w:t xml:space="preserve">4. System architecture</w:t>
      </w:r>
    </w:p>
    <w:p>
      <w:pPr>
        <w:pStyle w:val="Heading2"/>
      </w:pPr>
      <w:r>
        <w:t xml:space="preserve">4.1 Layered overview</w:t>
      </w:r>
    </w:p>
    <w:p>
      <w:pPr>
        <w:spacing w:after="140" w:line="276"/>
      </w:pPr>
      <w:r>
        <w:t xml:space="preserve">The system is five layers. Shared, stateless concerns sit at the edges; everything that holds client creative data lives inside a per-tenant silo. This separation is what makes both isolation and cost-efficiency possible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960"/>
      </w:tblGrid>
      <w:tr>
        <w:trPr>
          <w:tblHeader/>
        </w:trPr>
        <w:tc>
          <w:tcPr>
            <w:tcW w:type="dxa" w:w="23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Layer</w:t>
            </w:r>
          </w:p>
        </w:tc>
        <w:tc>
          <w:tcPr>
            <w:tcW w:type="dxa" w:w="41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Responsibility</w:t>
            </w:r>
          </w:p>
        </w:tc>
        <w:tc>
          <w:tcPr>
            <w:tcW w:type="dxa" w:w="29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Plane</w:t>
            </w:r>
          </w:p>
        </w:tc>
      </w:tr>
      <w:tr>
        <w:tc>
          <w:tcPr>
            <w:tcW w:type="dxa" w:w="2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Access + identity</w:t>
            </w:r>
          </w:p>
        </w:tc>
        <w:tc>
          <w:tcPr>
            <w:tcW w:type="dxa" w:w="4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SSO/SAML, login, RBAC, per-tenant routing</w:t>
            </w:r>
          </w:p>
        </w:tc>
        <w:tc>
          <w:tcPr>
            <w:tcW w:type="dxa" w:w="2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Shared control plane</w:t>
            </w:r>
          </w:p>
        </w:tc>
      </w:tr>
      <w:tr>
        <w:tc>
          <w:tcPr>
            <w:tcW w:type="dxa" w:w="2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Orchestration</w:t>
            </w:r>
          </w:p>
        </w:tc>
        <w:tc>
          <w:tcPr>
            <w:tcW w:type="dxa" w:w="4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Planner, authoring, variation agents</w:t>
            </w:r>
          </w:p>
        </w:tc>
        <w:tc>
          <w:tcPr>
            <w:tcW w:type="dxa" w:w="2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Shared control plane</w:t>
            </w:r>
          </w:p>
        </w:tc>
      </w:tr>
      <w:tr>
        <w:tc>
          <w:tcPr>
            <w:tcW w:type="dxa" w:w="2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Safety rail</w:t>
            </w:r>
          </w:p>
        </w:tc>
        <w:tc>
          <w:tcPr>
            <w:tcW w:type="dxa" w:w="4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Four checkpoints + audit trail</w:t>
            </w:r>
          </w:p>
        </w:tc>
        <w:tc>
          <w:tcPr>
            <w:tcW w:type="dxa" w:w="2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Cross-cutting</w:t>
            </w:r>
          </w:p>
        </w:tc>
      </w:tr>
      <w:tr>
        <w:tc>
          <w:tcPr>
            <w:tcW w:type="dxa" w:w="2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Tenant plane</w:t>
            </w:r>
          </w:p>
        </w:tc>
        <w:tc>
          <w:tcPr>
            <w:tcW w:type="dxa" w:w="4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Isolated renderer, DB, asset storage</w:t>
            </w:r>
          </w:p>
        </w:tc>
        <w:tc>
          <w:tcPr>
            <w:tcW w:type="dxa" w:w="2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Per-client data plane</w:t>
            </w:r>
          </w:p>
        </w:tc>
      </w:tr>
      <w:tr>
        <w:tc>
          <w:tcPr>
            <w:tcW w:type="dxa" w:w="2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Generation services</w:t>
            </w:r>
          </w:p>
        </w:tc>
        <w:tc>
          <w:tcPr>
            <w:tcW w:type="dxa" w:w="4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OpenAI models for copy, image, background</w:t>
            </w:r>
          </w:p>
        </w:tc>
        <w:tc>
          <w:tcPr>
            <w:tcW w:type="dxa" w:w="2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Shared, stateless</w:t>
            </w:r>
          </w:p>
        </w:tc>
      </w:tr>
    </w:tbl>
    <w:p>
      <w:pPr>
        <w:pStyle w:val="Heading2"/>
      </w:pPr>
      <w:r>
        <w:t xml:space="preserve">4.2 Orchestration — OpenAI Agents SDK</w:t>
      </w:r>
    </w:p>
    <w:p>
      <w:pPr>
        <w:spacing w:after="140" w:line="276"/>
      </w:pPr>
      <w:r>
        <w:t xml:space="preserve">The workflow is genuinely multi-agent, with handoffs between specialised agents. The Agents SDK concepts — agents, handoffs, guardrails, sessions, tracing — map closely onto the requirement, and its guardrails mechanism is the natural home for input moderation (safety checkpoint 1).</w:t>
      </w:r>
    </w:p>
    <w:p>
      <w:pPr>
        <w:pStyle w:val="ListParagraph"/>
        <w:numPr>
          <w:ilvl w:val="0"/>
          <w:numId w:val="2"/>
        </w:numPr>
        <w:spacing w:after="70" w:line="270"/>
      </w:pPr>
      <w:r>
        <w:rPr>
          <w:b/>
          <w:bCs/>
        </w:rPr>
        <w:t xml:space="preserve">Planner agent. </w:t>
      </w:r>
      <w:r>
        <w:t xml:space="preserve">Turns a brief plus advanced-mode constraints into a structured animation plan; encodes motion-design best practices via its system prompt and a rule library.</w:t>
      </w:r>
    </w:p>
    <w:p>
      <w:pPr>
        <w:pStyle w:val="ListParagraph"/>
        <w:numPr>
          <w:ilvl w:val="0"/>
          <w:numId w:val="2"/>
        </w:numPr>
        <w:spacing w:after="70" w:line="270"/>
      </w:pPr>
      <w:r>
        <w:rPr>
          <w:b/>
          <w:bCs/>
        </w:rPr>
        <w:t xml:space="preserve">Authoring agent. </w:t>
      </w:r>
      <w:r>
        <w:t xml:space="preserve">Executes the approved plan by calling the scene-authoring MCP tools; produces a render-ready .scene file that respects the lock manifest.</w:t>
      </w:r>
    </w:p>
    <w:p>
      <w:pPr>
        <w:pStyle w:val="ListParagraph"/>
        <w:numPr>
          <w:ilvl w:val="0"/>
          <w:numId w:val="2"/>
        </w:numPr>
        <w:spacing w:after="70" w:line="270"/>
      </w:pPr>
      <w:r>
        <w:rPr>
          <w:b/>
          <w:bCs/>
        </w:rPr>
        <w:t xml:space="preserve">Variation agent. </w:t>
      </w:r>
      <w:r>
        <w:t xml:space="preserve">Fans an approved master across the size, duration, copy, and background axes; coordinates generation and rendering.</w:t>
      </w:r>
    </w:p>
    <w:p>
      <w:pPr>
        <w:pStyle w:val="Heading2"/>
      </w:pPr>
      <w:r>
        <w:t xml:space="preserve">4.3 The scene-authoring MCP server (DEPT-built)</w:t>
      </w:r>
    </w:p>
    <w:p>
      <w:pPr>
        <w:spacing w:after="140" w:line="276"/>
      </w:pPr>
      <w:r>
        <w:t xml:space="preserve">IMG.LY’s public MCP server is documentation-only (search and fetch); it cannot build scenes. DEPT builds a separate MCP server that wraps the CE.SDK headless engine and exposes its Block/Scene API as callable tools. The Agents SDK connects to it via Streamable HTTP (MCPServerStreamableHttp) — the recommended transport for a self-hosted production server; stdio is dev-only and SSE is deprecated. The server runs in our GCP, not as a hosted OpenAI tool, because it touches per-tenant client assets under our isolation guarantees.</w:t>
      </w:r>
    </w:p>
    <w:p>
      <w:pPr>
        <w:pStyle w:val="Heading3"/>
      </w:pPr>
      <w:r>
        <w:t xml:space="preserve">Tool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Tool</w:t>
            </w:r>
          </w:p>
        </w:tc>
        <w:tc>
          <w:tcPr>
            <w:tcW w:type="dxa" w:w="66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Purpose</w:t>
            </w:r>
          </w:p>
        </w:tc>
      </w:tr>
      <w:tr>
        <w:tc>
          <w:tcPr>
            <w:tcW w:type="dxa" w:w="2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create_scene</w:t>
            </w:r>
          </w:p>
        </w:tc>
        <w:tc>
          <w:tcPr>
            <w:tcW w:type="dxa" w:w="6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New scene at a given format/dimensions.</w:t>
            </w:r>
          </w:p>
        </w:tc>
      </w:tr>
      <w:tr>
        <w:tc>
          <w:tcPr>
            <w:tcW w:type="dxa" w:w="2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create_block</w:t>
            </w:r>
          </w:p>
        </w:tc>
        <w:tc>
          <w:tcPr>
            <w:tcW w:type="dxa" w:w="6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Add text / image / video / shape block.</w:t>
            </w:r>
          </w:p>
        </w:tc>
      </w:tr>
      <w:tr>
        <w:tc>
          <w:tcPr>
            <w:tcW w:type="dxa" w:w="2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set_properties</w:t>
            </w:r>
          </w:p>
        </w:tc>
        <w:tc>
          <w:tcPr>
            <w:tcW w:type="dxa" w:w="6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Set transform, fill, typography — rejected if it targets a locked property.</w:t>
            </w:r>
          </w:p>
        </w:tc>
      </w:tr>
      <w:tr>
        <w:tc>
          <w:tcPr>
            <w:tcW w:type="dxa" w:w="2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set_keyframe</w:t>
            </w:r>
          </w:p>
        </w:tc>
        <w:tc>
          <w:tcPr>
            <w:tcW w:type="dxa" w:w="6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Keyframe a property at a time.</w:t>
            </w:r>
          </w:p>
        </w:tc>
      </w:tr>
      <w:tr>
        <w:tc>
          <w:tcPr>
            <w:tcW w:type="dxa" w:w="2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add_animation</w:t>
            </w:r>
          </w:p>
        </w:tc>
        <w:tc>
          <w:tcPr>
            <w:tcW w:type="dxa" w:w="6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Attach an animation/easing to a block.</w:t>
            </w:r>
          </w:p>
        </w:tc>
      </w:tr>
      <w:tr>
        <w:tc>
          <w:tcPr>
            <w:tcW w:type="dxa" w:w="2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apply_brand_kit</w:t>
            </w:r>
          </w:p>
        </w:tc>
        <w:tc>
          <w:tcPr>
            <w:tcW w:type="dxa" w:w="6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Pull fonts, palette, logo from the tenant brand kit (read-only).</w:t>
            </w:r>
          </w:p>
        </w:tc>
      </w:tr>
      <w:tr>
        <w:tc>
          <w:tcPr>
            <w:tcW w:type="dxa" w:w="2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apply_lock_manifest</w:t>
            </w:r>
          </w:p>
        </w:tc>
        <w:tc>
          <w:tcPr>
            <w:tcW w:type="dxa" w:w="6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Load the template lock manifest into the job.</w:t>
            </w:r>
          </w:p>
        </w:tc>
      </w:tr>
      <w:tr>
        <w:tc>
          <w:tcPr>
            <w:tcW w:type="dxa" w:w="2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generate_asset</w:t>
            </w:r>
          </w:p>
        </w:tc>
        <w:tc>
          <w:tcPr>
            <w:tcW w:type="dxa" w:w="6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Request copy/image/background from OpenAI via the safety pipeline; returns a fill.</w:t>
            </w:r>
          </w:p>
        </w:tc>
      </w:tr>
      <w:tr>
        <w:tc>
          <w:tcPr>
            <w:tcW w:type="dxa" w:w="2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save_scene</w:t>
            </w:r>
          </w:p>
        </w:tc>
        <w:tc>
          <w:tcPr>
            <w:tcW w:type="dxa" w:w="6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Persist editable .scene to tenant storage; returns a ref.</w:t>
            </w:r>
          </w:p>
        </w:tc>
      </w:tr>
      <w:tr>
        <w:tc>
          <w:tcPr>
            <w:tcW w:type="dxa" w:w="2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render_variant</w:t>
            </w:r>
          </w:p>
        </w:tc>
        <w:tc>
          <w:tcPr>
            <w:tcW w:type="dxa" w:w="6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Enqueue an async render job; returns a job id.</w:t>
            </w:r>
          </w:p>
        </w:tc>
      </w:tr>
    </w:tbl>
    <w:p>
      <w:pPr>
        <w:spacing w:after="140" w:line="276"/>
      </w:pPr>
      <w:r>
        <w:t xml:space="preserve">Design rules: every tool takes a tenant_id resolved server-side from the caller’s scoped token, never trusted from the argument. set_properties and set_keyframe consult the loaded lock manifest and hard-reject writes to frozen properties. generate_asset output passes asset moderation and brand/legal checks before reaching the scene. No destructive or irreversible operation (delete, publish, permission change) exists in this surface.</w:t>
      </w:r>
    </w:p>
    <w:p>
      <w:pPr>
        <w:pStyle w:val="Heading2"/>
      </w:pPr>
      <w:r>
        <w:t xml:space="preserve">4.4 Generation services — OpenAI models</w:t>
      </w:r>
    </w:p>
    <w:p>
      <w:pPr>
        <w:pStyle w:val="ListParagraph"/>
        <w:numPr>
          <w:ilvl w:val="0"/>
          <w:numId w:val="2"/>
        </w:numPr>
        <w:spacing w:after="70" w:line="270"/>
      </w:pPr>
      <w:r>
        <w:t xml:space="preserve">Copy and headline generation via GPT-class models, constrained by tone, character caps, and negative keywords.</w:t>
      </w:r>
    </w:p>
    <w:p>
      <w:pPr>
        <w:pStyle w:val="ListParagraph"/>
        <w:numPr>
          <w:ilvl w:val="0"/>
          <w:numId w:val="2"/>
        </w:numPr>
        <w:spacing w:after="70" w:line="270"/>
      </w:pPr>
      <w:r>
        <w:t xml:space="preserve">Image and background generation via OpenAI image models.</w:t>
      </w:r>
    </w:p>
    <w:p>
      <w:pPr>
        <w:pStyle w:val="ListParagraph"/>
        <w:numPr>
          <w:ilvl w:val="0"/>
          <w:numId w:val="2"/>
        </w:numPr>
        <w:spacing w:after="70" w:line="270"/>
      </w:pPr>
      <w:r>
        <w:t xml:space="preserve">Generated media returns as a fill on a block — editable, not baked.</w:t>
      </w:r>
    </w:p>
    <w:p>
      <w:pPr>
        <w:pStyle w:val="ListParagraph"/>
        <w:numPr>
          <w:ilvl w:val="0"/>
          <w:numId w:val="2"/>
        </w:numPr>
        <w:spacing w:after="70" w:line="270"/>
      </w:pPr>
      <w:r>
        <w:t xml:space="preserve">Services are shared and stateless: they retain no tenant data between calls, keeping the integration simple and the isolation guarantee intact.</w:t>
      </w:r>
    </w:p>
    <w:p>
      <w:pPr>
        <w:spacing w:after="140" w:line="276"/>
      </w:pPr>
      <w:r>
        <w:rPr>
          <w:b/>
          <w:bCs/>
        </w:rPr>
        <w:t xml:space="preserve">Generate-once / render-many. </w:t>
      </w:r>
      <w:r>
        <w:t xml:space="preserve">Generate variable content once per unique combination; render every size and duration from that content. Do not re-call an image model once per aspect ratio. This is the difference between a workable and an unworkable cost model, enforced in job planning before render_variant fans out.</w:t>
      </w:r>
    </w:p>
    <w:p>
      <w:pPr>
        <w:pStyle w:val="Heading2"/>
      </w:pPr>
      <w:r>
        <w:t xml:space="preserve">4.5 Two workload shapes</w:t>
      </w:r>
    </w:p>
    <w:p>
      <w:pPr>
        <w:spacing w:after="140" w:line="276"/>
      </w:pPr>
      <w:r>
        <w:t xml:space="preserve">The system looks like one service but is two workload shapes. Separating them is the most important hosting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
            </w:r>
          </w:p>
        </w:tc>
        <w:tc>
          <w:tcPr>
            <w:tcW w:type="dxa" w:w="38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Authoring / tool calls</w:t>
            </w:r>
          </w:p>
        </w:tc>
        <w:tc>
          <w:tcPr>
            <w:tcW w:type="dxa" w:w="38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Batch rendering</w:t>
            </w:r>
          </w:p>
        </w:tc>
      </w:tr>
      <w:tr>
        <w:tc>
          <w:tcPr>
            <w:tcW w:type="dxa" w:w="1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Shape</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Short request/response</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Long-running job</w:t>
            </w:r>
          </w:p>
        </w:tc>
      </w:tr>
      <w:tr>
        <w:tc>
          <w:tcPr>
            <w:tcW w:type="dxa" w:w="1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State</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Stateless per call</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Holds scene + engine in memory</w:t>
            </w:r>
          </w:p>
        </w:tc>
      </w:tr>
      <w:tr>
        <w:tc>
          <w:tcPr>
            <w:tcW w:type="dxa" w:w="1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Resource</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Modest CPU/RAM</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High RAM, headless browser engine</w:t>
            </w:r>
          </w:p>
        </w:tc>
      </w:tr>
      <w:tr>
        <w:tc>
          <w:tcPr>
            <w:tcW w:type="dxa" w:w="1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GCP fit</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Cloud Run service</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Cloud Run Jobs → GKE at volume</w:t>
            </w:r>
          </w:p>
        </w:tc>
      </w:tr>
    </w:tbl>
    <w:p>
      <w:r>
        <w:br w:type="page"/>
      </w:r>
    </w:p>
    <w:p>
      <w:r>
        <w:br w:type="page"/>
      </w:r>
    </w:p>
    <w:p>
      <w:pPr>
        <w:pStyle w:val="Heading1"/>
      </w:pPr>
      <w:r>
        <w:t xml:space="preserve">4A. Motion model and two-tier engine strategy</w:t>
      </w:r>
    </w:p>
    <w:p>
      <w:pPr>
        <w:spacing w:after="140" w:line="276"/>
      </w:pPr>
      <w:r>
        <w:t xml:space="preserve">CORRECTION: an earlier draft of this spec described CE.SDK as a keyframe system. Verification against the live CE.SDK docs proved otherwise. This section states the confirmed, honest model.</w:t>
      </w:r>
    </w:p>
    <w:p>
      <w:pPr>
        <w:pStyle w:val="Heading2"/>
      </w:pPr>
      <w:r>
        <w:t xml:space="preserve">4A.1 CE.SDK ground truth (verified)</w:t>
      </w:r>
    </w:p>
    <w:p>
      <w:pPr>
        <w:spacing w:after="140" w:line="276"/>
      </w:pPr>
      <w:r>
        <w:t xml:space="preserve">CE.SDK is a preset-based animation engine, not a keyframe system. Animations are attached as In/Out/Loop presets with fixed tunable properties; easing is an enum (Linear, EaseIn, EaseOut, EaseInOut). There is no custom cubic-bezier, no per-keyframe easing, no arbitrary multi-keyframe property tracks, no group/composition animation in video mode, and no first-class scene-transition primitive. IMG.LY uses the word ‘keyframes’ in marketing to mean the preset-animation timeline — not After Effects-style property keyframing. The product must not build toward a keyframe API on CE.SDK because it does not exist.</w:t>
      </w:r>
    </w:p>
    <w:p>
      <w:pPr>
        <w:pStyle w:val="Heading2"/>
      </w:pPr>
      <w:r>
        <w:t xml:space="preserve">4A.2 Two-tier strategy</w:t>
      </w:r>
    </w:p>
    <w:p>
      <w:pPr>
        <w:spacing w:after="140" w:line="276"/>
      </w:pPr>
      <w:r>
        <w:t xml:space="preserve">The product needs both scaled ad creative and bespoke craft. These use different engines behind one engine-agnostic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rPr>
          <w:tblHeader/>
        </w:trPr>
        <w:tc>
          <w:tcPr>
            <w:tcW w:type="dxa" w:w="15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
            </w:r>
          </w:p>
        </w:tc>
        <w:tc>
          <w:tcPr>
            <w:tcW w:type="dxa" w:w="39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Tier 1 — Scale</w:t>
            </w:r>
          </w:p>
        </w:tc>
        <w:tc>
          <w:tcPr>
            <w:tcW w:type="dxa" w:w="39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Tier 2 — Craft</w:t>
            </w:r>
          </w:p>
        </w:tc>
      </w:tr>
      <w:tr>
        <w:tc>
          <w:tcPr>
            <w:tcW w:type="dxa" w:w="1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Engine</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CE.SDK (preset-composition)</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Remotion (true keyframes/bezier/spring)</w:t>
            </w:r>
          </w:p>
        </w:tc>
      </w:tr>
      <w:tr>
        <w:tc>
          <w:tcPr>
            <w:tcW w:type="dxa" w:w="1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Status</w:t>
            </w:r>
          </w:p>
        </w:tc>
        <w:tc>
          <w:tcPr>
            <w:tcW w:type="dxa" w:w="39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BUILD NOW</w:t>
            </w:r>
          </w:p>
        </w:tc>
        <w:tc>
          <w:tcPr>
            <w:tcW w:type="dxa" w:w="39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Validated, DEFERRED</w:t>
            </w:r>
          </w:p>
        </w:tc>
      </w:tr>
      <w:tr>
        <w:tc>
          <w:tcPr>
            <w:tcW w:type="dxa" w:w="1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Motion</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Compose In/Out/Loop presets + staggers + 4 easings</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Code-authored keyframes + custom curves</w:t>
            </w:r>
          </w:p>
        </w:tc>
      </w:tr>
      <w:tr>
        <w:tc>
          <w:tcPr>
            <w:tcW w:type="dxa" w:w="1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Cost</w:t>
            </w:r>
          </w:p>
        </w:tc>
        <w:tc>
          <w:tcPr>
            <w:tcW w:type="dxa" w:w="39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Flat SDK licence, no per-render fee</w:t>
            </w:r>
          </w:p>
        </w:tc>
        <w:tc>
          <w:tcPr>
            <w:tcW w:type="dxa" w:w="39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Company licence ~$0.01/render, $100/mo min</w:t>
            </w:r>
          </w:p>
        </w:tc>
      </w:tr>
      <w:tr>
        <w:tc>
          <w:tcPr>
            <w:tcW w:type="dxa" w:w="1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Best for</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High-volume on-brand variation</w:t>
            </w:r>
          </w:p>
        </w:tc>
        <w:tc>
          <w:tcPr>
            <w:tcW w:type="dxa" w:w="39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Low-volume, high-value bespoke motion</w:t>
            </w:r>
          </w:p>
        </w:tc>
      </w:tr>
    </w:tbl>
    <w:p>
      <w:pPr>
        <w:spacing w:after="140" w:line="276"/>
      </w:pPr>
      <w:r>
        <w:rPr>
          <w:b/>
          <w:bCs/>
        </w:rPr>
        <w:t xml:space="preserve">Why split this way: </w:t>
      </w:r>
      <w:r>
        <w:t xml:space="preserve">the engines are complements. CE.SDK is cheap and reliable at the volume the scale tier maximises but motion-limited; Remotion is motion-rich but its per-render fee compounds exactly at high volume. Each engine goes where its cost/capability fits.</w:t>
      </w:r>
    </w:p>
    <w:p>
      <w:pPr>
        <w:pStyle w:val="Heading2"/>
      </w:pPr>
      <w:r>
        <w:t xml:space="preserve">4A.3 The MotionEngine interface (build now, one implementation)</w:t>
      </w:r>
    </w:p>
    <w:p>
      <w:pPr>
        <w:spacing w:after="140" w:line="276"/>
      </w:pPr>
      <w:r>
        <w:t xml:space="preserve">All motion authoring flows through a single engine-agnostic MotionEngine interface so Tier 2 can slot in later without touching the scale tier. The MCP motion tools, planner, and authoring agent talk only to this interface — never to an engine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Method</w:t>
            </w:r>
          </w:p>
        </w:tc>
        <w:tc>
          <w:tcPr>
            <w:tcW w:type="dxa" w:w="59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Purpose</w:t>
            </w:r>
          </w:p>
        </w:tc>
      </w:tr>
      <w:tr>
        <w:tc>
          <w:tcPr>
            <w:tcW w:type="dxa" w:w="3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applyIntent(block, intent, params)</w:t>
            </w:r>
          </w:p>
        </w:tc>
        <w:tc>
          <w:tcPr>
            <w:tcW w:type="dxa" w:w="5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Apply a named motion intent from the mapping.</w:t>
            </w:r>
          </w:p>
        </w:tc>
      </w:tr>
      <w:tr>
        <w:tc>
          <w:tcPr>
            <w:tcW w:type="dxa" w:w="34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stagger(blocks, timing)</w:t>
            </w:r>
          </w:p>
        </w:tc>
        <w:tc>
          <w:tcPr>
            <w:tcW w:type="dxa" w:w="5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Offset start times across layers.</w:t>
            </w:r>
          </w:p>
        </w:tc>
      </w:tr>
      <w:tr>
        <w:tc>
          <w:tcPr>
            <w:tcW w:type="dxa" w:w="3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setTiming(block, {start, duration})</w:t>
            </w:r>
          </w:p>
        </w:tc>
        <w:tc>
          <w:tcPr>
            <w:tcW w:type="dxa" w:w="5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Place a block on the timeline.</w:t>
            </w:r>
          </w:p>
        </w:tc>
      </w:tr>
      <w:tr>
        <w:tc>
          <w:tcPr>
            <w:tcW w:type="dxa" w:w="34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sequence(scenes, offsets)</w:t>
            </w:r>
          </w:p>
        </w:tc>
        <w:tc>
          <w:tcPr>
            <w:tcW w:type="dxa" w:w="5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Order scenes with offsets/overlaps.</w:t>
            </w:r>
          </w:p>
        </w:tc>
      </w:tr>
      <w:tr>
        <w:tc>
          <w:tcPr>
            <w:tcW w:type="dxa" w:w="3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capabilities()</w:t>
            </w:r>
          </w:p>
        </w:tc>
        <w:tc>
          <w:tcPr>
            <w:tcW w:type="dxa" w:w="5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Report what THIS engine supports — callers detect Tier 2 needs.</w:t>
            </w:r>
          </w:p>
        </w:tc>
      </w:tr>
      <w:tr>
        <w:tc>
          <w:tcPr>
            <w:tcW w:type="dxa" w:w="34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render(scene, format)</w:t>
            </w:r>
          </w:p>
        </w:tc>
        <w:tc>
          <w:tcPr>
            <w:tcW w:type="dxa" w:w="5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Produce output.</w:t>
            </w:r>
          </w:p>
        </w:tc>
      </w:tr>
    </w:tbl>
    <w:p>
      <w:pPr>
        <w:spacing w:after="140" w:line="276"/>
      </w:pPr>
      <w:r>
        <w:rPr>
          <w:b/>
          <w:bCs/>
        </w:rPr>
        <w:t xml:space="preserve">Tier 1 implementation (CesdkMotionEngine): </w:t>
      </w:r>
      <w:r>
        <w:t xml:space="preserve">translates intents into preset composition; capabilities() reports no-keyframe-tracks, no-custom-bezier, four easings. When a requested intent exceeds capabilities(), it returns a ‘Tier 2 candidate’ signal rather than silently approximating without labeling — and that signal increments the trigger metric. Every produced motion is labeled native (one preset) or composed (presets combined).</w:t>
      </w:r>
    </w:p>
    <w:p>
      <w:pPr>
        <w:pStyle w:val="Heading2"/>
      </w:pPr>
      <w:r>
        <w:t xml:space="preserve">4A.4 The Tier 2 trigger</w:t>
      </w:r>
    </w:p>
    <w:p>
      <w:pPr>
        <w:spacing w:after="140" w:line="276"/>
      </w:pPr>
      <w:r>
        <w:t xml:space="preserve">Do not build Remotion on a hunch. Build it when real usage proves the ceiling is hit often enough: when roughly 15% or more of projects are flagged Tier 2 candidates, or a committed marquee client contractually requires bespoke motion. Until then, Tier 2 candidates are finished manually by a human in the editor or deferred. Track the candidate rate — it is the signal that decides the build. Full detail in the companion doc MOTION_ENGINE.md.</w:t>
      </w:r>
    </w:p>
    <w:p>
      <w:pPr>
        <w:pStyle w:val="Heading1"/>
      </w:pPr>
      <w:r>
        <w:t xml:space="preserve">4B. Two generation modes</w:t>
      </w:r>
    </w:p>
    <w:p>
      <w:pPr>
        <w:spacing w:after="140" w:line="276"/>
      </w:pPr>
      <w:r>
        <w:t xml:space="preserve">The AI operates in two distinct modes, selectable per job. Both run through the same agents and safety pipeline; they differ in how much freedom the agent has.</w:t>
      </w:r>
    </w:p>
    <w:p>
      <w:pPr>
        <w:pStyle w:val="Heading2"/>
      </w:pPr>
      <w:r>
        <w:t xml:space="preserve">4B.1 Compose mode (open)</w:t>
      </w:r>
    </w:p>
    <w:p>
      <w:pPr>
        <w:spacing w:after="140" w:line="276"/>
      </w:pPr>
      <w:r>
        <w:t xml:space="preserve">From a prompt alone, the agent composes a complete concept: it invents the layout, layer set, motion, and timing, drafts a plan, and authors the full scene. Used for ideation and first drafts. The brand kit and any tenant-level locks still apply, but within those bounds the agent has wide latitude to propose something new.</w:t>
      </w:r>
    </w:p>
    <w:p>
      <w:pPr>
        <w:pStyle w:val="Heading2"/>
      </w:pPr>
      <w:r>
        <w:t xml:space="preserve">4B.2 Constrained mode (locked-fill)</w:t>
      </w:r>
    </w:p>
    <w:p>
      <w:pPr>
        <w:spacing w:after="140" w:line="276"/>
      </w:pPr>
      <w:r>
        <w:t xml:space="preserve">The creative locks parts of an existing master — specific layers, positions, copy, or motion — and instructs the agent to generate only the unlocked parts to a specification. The agent fills the variable slots and may not alter anything locked. This is the production mode behind scaled variation: the master’s structure is fixed; only the designated fields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
            </w:r>
          </w:p>
        </w:tc>
        <w:tc>
          <w:tcPr>
            <w:tcW w:type="dxa" w:w="38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Compose mode</w:t>
            </w:r>
          </w:p>
        </w:tc>
        <w:tc>
          <w:tcPr>
            <w:tcW w:type="dxa" w:w="38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Constrained mode</w:t>
            </w:r>
          </w:p>
        </w:tc>
      </w:tr>
      <w:tr>
        <w:tc>
          <w:tcPr>
            <w:tcW w:type="dxa" w:w="1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Input</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 prompt</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 master + lock manifest + spec</w:t>
            </w:r>
          </w:p>
        </w:tc>
      </w:tr>
      <w:tr>
        <w:tc>
          <w:tcPr>
            <w:tcW w:type="dxa" w:w="1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AI latitude</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Wide — invents structure</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Narrow — fills variable slots only</w:t>
            </w:r>
          </w:p>
        </w:tc>
      </w:tr>
      <w:tr>
        <w:tc>
          <w:tcPr>
            <w:tcW w:type="dxa" w:w="17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Use</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Ideation, first drafts</w:t>
            </w:r>
          </w:p>
        </w:tc>
        <w:tc>
          <w:tcPr>
            <w:tcW w:type="dxa" w:w="38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Production, scaled variation</w:t>
            </w:r>
          </w:p>
        </w:tc>
      </w:tr>
      <w:tr>
        <w:tc>
          <w:tcPr>
            <w:tcW w:type="dxa" w:w="17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Guarantee</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On-brand within kit</w:t>
            </w:r>
          </w:p>
        </w:tc>
        <w:tc>
          <w:tcPr>
            <w:tcW w:type="dxa" w:w="38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Nothing locked can change</w:t>
            </w:r>
          </w:p>
        </w:tc>
      </w:tr>
    </w:tbl>
    <w:p>
      <w:pPr>
        <w:spacing w:after="140" w:line="276"/>
      </w:pPr>
      <w:r>
        <w:rPr>
          <w:b/>
          <w:bCs/>
        </w:rPr>
        <w:t xml:space="preserve">Same enforcement, different freedom. </w:t>
      </w:r>
      <w:r>
        <w:t xml:space="preserve">Both modes are bound by the lock manifest at the tool layer. Compose mode simply has fewer locks set; constrained mode has many. The mechanism is identical — the difference is configuration, not a separate code path.</w:t>
      </w:r>
    </w:p>
    <w:p>
      <w:pPr>
        <w:pStyle w:val="Heading1"/>
      </w:pPr>
      <w:r>
        <w:t xml:space="preserve">5. Identity, login, account &amp; API separation</w:t>
      </w:r>
    </w:p>
    <w:p>
      <w:pPr>
        <w:pStyle w:val="Heading2"/>
      </w:pPr>
      <w:r>
        <w:t xml:space="preserve">5.1 SSO and login</w:t>
      </w:r>
    </w:p>
    <w:p>
      <w:pPr>
        <w:spacing w:after="140" w:line="276"/>
      </w:pPr>
      <w:r>
        <w:t xml:space="preserve">Authentication is enterprise SSO via SAML 2.0 / OIDC, federating to each client’s own identity provider (Okta, Entra ID, Google Workspace). DEPT Canvas does not store passwords; it delegates authentication to the client IdP and consumes signed assertions. A session yields a short-lived, signed token carrying the user’s identity, tenant, and role claims. Token lifetimes are short with refresh; all session material is transported over TLS and never placed in URLs.</w:t>
      </w:r>
    </w:p>
    <w:p>
      <w:pPr>
        <w:pStyle w:val="ListParagraph"/>
        <w:numPr>
          <w:ilvl w:val="0"/>
          <w:numId w:val="2"/>
        </w:numPr>
        <w:spacing w:after="70" w:line="270"/>
      </w:pPr>
      <w:r>
        <w:t xml:space="preserve">SAML/OIDC federation per client; SCIM optional for automated user provisioning and de-provisioning.</w:t>
      </w:r>
    </w:p>
    <w:p>
      <w:pPr>
        <w:pStyle w:val="ListParagraph"/>
        <w:numPr>
          <w:ilvl w:val="0"/>
          <w:numId w:val="2"/>
        </w:numPr>
        <w:spacing w:after="70" w:line="270"/>
      </w:pPr>
      <w:r>
        <w:t xml:space="preserve">MFA enforced at the IdP; DEPT Canvas honours the IdP’s assurance level.</w:t>
      </w:r>
    </w:p>
    <w:p>
      <w:pPr>
        <w:pStyle w:val="ListParagraph"/>
        <w:numPr>
          <w:ilvl w:val="0"/>
          <w:numId w:val="2"/>
        </w:numPr>
        <w:spacing w:after="70" w:line="270"/>
      </w:pPr>
      <w:r>
        <w:t xml:space="preserve">Break-glass admin access is separate, audited, and not federated, for recovery scenarios.</w:t>
      </w:r>
    </w:p>
    <w:p>
      <w:pPr>
        <w:pStyle w:val="Heading2"/>
      </w:pPr>
      <w:r>
        <w:t xml:space="preserve">5.2 Users, roles, and permissions (RBAC)</w:t>
      </w:r>
    </w:p>
    <w:p>
      <w:pPr>
        <w:spacing w:after="140" w:line="276"/>
      </w:pPr>
      <w:r>
        <w:t xml:space="preserve">Authorisation is role-based and evaluated server-side on every request. Roles are scoped to a tenant; a user in one tenant has no implicit standing in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Role</w:t>
            </w:r>
          </w:p>
        </w:tc>
        <w:tc>
          <w:tcPr>
            <w:tcW w:type="dxa" w:w="37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Can do</w:t>
            </w:r>
          </w:p>
        </w:tc>
        <w:tc>
          <w:tcPr>
            <w:tcW w:type="dxa" w:w="373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Cannot do</w:t>
            </w:r>
          </w:p>
        </w:tc>
      </w:tr>
      <w:tr>
        <w:tc>
          <w:tcPr>
            <w:tcW w:type="dxa" w:w="1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Viewer</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View projects and variations</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Edit, generate, approve, or export</w:t>
            </w:r>
          </w:p>
        </w:tc>
      </w:tr>
      <w:tr>
        <w:tc>
          <w:tcPr>
            <w:tcW w:type="dxa" w:w="19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Creator</w:t>
            </w:r>
          </w:p>
        </w:tc>
        <w:tc>
          <w:tcPr>
            <w:tcW w:type="dxa" w:w="37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Brief, generate, edit, save masters</w:t>
            </w:r>
          </w:p>
        </w:tc>
        <w:tc>
          <w:tcPr>
            <w:tcW w:type="dxa" w:w="37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Approve masters, define locks, push to ad platforms</w:t>
            </w:r>
          </w:p>
        </w:tc>
      </w:tr>
      <w:tr>
        <w:tc>
          <w:tcPr>
            <w:tcW w:type="dxa" w:w="1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Brand owner</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Define lock manifests, approve masters</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Manage tenant settings or users</w:t>
            </w:r>
          </w:p>
        </w:tc>
      </w:tr>
      <w:tr>
        <w:tc>
          <w:tcPr>
            <w:tcW w:type="dxa" w:w="19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Approver</w:t>
            </w:r>
          </w:p>
        </w:tc>
        <w:tc>
          <w:tcPr>
            <w:tcW w:type="dxa" w:w="37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Approve/reject variation batches, release</w:t>
            </w:r>
          </w:p>
        </w:tc>
        <w:tc>
          <w:tcPr>
            <w:tcW w:type="dxa" w:w="373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Edit creative</w:t>
            </w:r>
          </w:p>
        </w:tc>
      </w:tr>
      <w:tr>
        <w:tc>
          <w:tcPr>
            <w:tcW w:type="dxa" w:w="1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Tenant admin</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Manage users, roles, integrations, settings</w:t>
            </w:r>
          </w:p>
        </w:tc>
        <w:tc>
          <w:tcPr>
            <w:tcW w:type="dxa" w:w="373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Cross-tenant access of any kind</w:t>
            </w:r>
          </w:p>
        </w:tc>
      </w:tr>
    </w:tbl>
    <w:p>
      <w:pPr>
        <w:pStyle w:val="Heading2"/>
      </w:pPr>
      <w:r>
        <w:t xml:space="preserve">5.3 Account separation</w:t>
      </w:r>
    </w:p>
    <w:p>
      <w:pPr>
        <w:spacing w:after="140" w:line="276"/>
      </w:pPr>
      <w:r>
        <w:t xml:space="preserve">Each client is a tenant with a fully isolated data plane. Account separation is enforced at multiple levels so that no single failure exposes another tenant’s data.</w:t>
      </w:r>
    </w:p>
    <w:p>
      <w:pPr>
        <w:pStyle w:val="ListParagraph"/>
        <w:numPr>
          <w:ilvl w:val="0"/>
          <w:numId w:val="2"/>
        </w:numPr>
        <w:spacing w:after="70" w:line="270"/>
      </w:pPr>
      <w:r>
        <w:rPr>
          <w:b/>
          <w:bCs/>
        </w:rPr>
        <w:t xml:space="preserve">Data. </w:t>
      </w:r>
      <w:r>
        <w:t xml:space="preserve">Dedicated database and dedicated asset-storage bucket per tenant. No shared tables; no cross-tenant query path.</w:t>
      </w:r>
    </w:p>
    <w:p>
      <w:pPr>
        <w:pStyle w:val="ListParagraph"/>
        <w:numPr>
          <w:ilvl w:val="0"/>
          <w:numId w:val="2"/>
        </w:numPr>
        <w:spacing w:after="70" w:line="270"/>
      </w:pPr>
      <w:r>
        <w:rPr>
          <w:b/>
          <w:bCs/>
        </w:rPr>
        <w:t xml:space="preserve">Compute. </w:t>
      </w:r>
      <w:r>
        <w:t xml:space="preserve">The renderer runs in a tenant-scoped execution context with no shared mutable state in memory between tenants.</w:t>
      </w:r>
    </w:p>
    <w:p>
      <w:pPr>
        <w:pStyle w:val="ListParagraph"/>
        <w:numPr>
          <w:ilvl w:val="0"/>
          <w:numId w:val="2"/>
        </w:numPr>
        <w:spacing w:after="70" w:line="270"/>
      </w:pPr>
      <w:r>
        <w:rPr>
          <w:b/>
          <w:bCs/>
        </w:rPr>
        <w:t xml:space="preserve">Keys. </w:t>
      </w:r>
      <w:r>
        <w:t xml:space="preserve">Per-tenant encryption keys in Cloud KMS; customer-managed keys (CMEK) available for clients who require holding their own.</w:t>
      </w:r>
    </w:p>
    <w:p>
      <w:pPr>
        <w:pStyle w:val="ListParagraph"/>
        <w:numPr>
          <w:ilvl w:val="0"/>
          <w:numId w:val="2"/>
        </w:numPr>
        <w:spacing w:after="70" w:line="270"/>
      </w:pPr>
      <w:r>
        <w:rPr>
          <w:b/>
          <w:bCs/>
        </w:rPr>
        <w:t xml:space="preserve">Identity. </w:t>
      </w:r>
      <w:r>
        <w:t xml:space="preserve">Tenant is a hard claim on every token; the tenant router derives the reachable data plane from the token, not from any request argument.</w:t>
      </w:r>
    </w:p>
    <w:p>
      <w:pPr>
        <w:pStyle w:val="Heading2"/>
      </w:pPr>
      <w:r>
        <w:t xml:space="preserve">5.4 API separation</w:t>
      </w:r>
    </w:p>
    <w:p>
      <w:pPr>
        <w:spacing w:after="140" w:line="276"/>
      </w:pPr>
      <w:r>
        <w:t xml:space="preserve">APIs are separated by concern and by trust boundary, so that a compromise or fault in one surface does not cascade.</w:t>
      </w:r>
    </w:p>
    <w:p>
      <w:pPr>
        <w:pStyle w:val="ListParagraph"/>
        <w:numPr>
          <w:ilvl w:val="0"/>
          <w:numId w:val="2"/>
        </w:numPr>
        <w:spacing w:after="70" w:line="270"/>
      </w:pPr>
      <w:r>
        <w:rPr>
          <w:b/>
          <w:bCs/>
        </w:rPr>
        <w:t xml:space="preserve">Public/edge API. </w:t>
      </w:r>
      <w:r>
        <w:t xml:space="preserve">The only internet-facing surface. Terminates TLS, validates the session token, resolves tenant, and forwards to internal services. Rate-limited and WAF-protected.</w:t>
      </w:r>
    </w:p>
    <w:p>
      <w:pPr>
        <w:pStyle w:val="ListParagraph"/>
        <w:numPr>
          <w:ilvl w:val="0"/>
          <w:numId w:val="2"/>
        </w:numPr>
        <w:spacing w:after="70" w:line="270"/>
      </w:pPr>
      <w:r>
        <w:rPr>
          <w:b/>
          <w:bCs/>
        </w:rPr>
        <w:t xml:space="preserve">Orchestration API. </w:t>
      </w:r>
      <w:r>
        <w:t xml:space="preserve">Internal-only. Drives the agents. Reached over private networking; authenticates with short-lived OIDC service tokens.</w:t>
      </w:r>
    </w:p>
    <w:p>
      <w:pPr>
        <w:pStyle w:val="ListParagraph"/>
        <w:numPr>
          <w:ilvl w:val="0"/>
          <w:numId w:val="2"/>
        </w:numPr>
        <w:spacing w:after="70" w:line="270"/>
      </w:pPr>
      <w:r>
        <w:rPr>
          <w:b/>
          <w:bCs/>
        </w:rPr>
        <w:t xml:space="preserve">Scene-authoring MCP API. </w:t>
      </w:r>
      <w:r>
        <w:t xml:space="preserve">Internal-only, not internet-exposed. Egress restricted to the OpenAI API and the tenant’s own storage bucket — nothing else.</w:t>
      </w:r>
    </w:p>
    <w:p>
      <w:pPr>
        <w:pStyle w:val="ListParagraph"/>
        <w:numPr>
          <w:ilvl w:val="0"/>
          <w:numId w:val="2"/>
        </w:numPr>
        <w:spacing w:after="70" w:line="270"/>
      </w:pPr>
      <w:r>
        <w:rPr>
          <w:b/>
          <w:bCs/>
        </w:rPr>
        <w:t xml:space="preserve">Generation API (OpenAI). </w:t>
      </w:r>
      <w:r>
        <w:t xml:space="preserve">Called only by the MCP server, which holds the key in Secret Manager. The key is never handed to the model, returned in a tool result, or exposed to the client surface.</w:t>
      </w:r>
    </w:p>
    <w:p>
      <w:pPr>
        <w:pStyle w:val="ListParagraph"/>
        <w:numPr>
          <w:ilvl w:val="0"/>
          <w:numId w:val="2"/>
        </w:numPr>
        <w:spacing w:after="70" w:line="270"/>
      </w:pPr>
      <w:r>
        <w:rPr>
          <w:b/>
          <w:bCs/>
        </w:rPr>
        <w:t xml:space="preserve">Delivery API. </w:t>
      </w:r>
      <w:r>
        <w:t xml:space="preserve">Outbound connectors to ad platforms and DAMs, invoked only after the human approval gate, scoped per tenant.</w:t>
      </w:r>
    </w:p>
    <w:p>
      <w:pPr>
        <w:pStyle w:val="Heading1"/>
      </w:pPr>
      <w:r>
        <w:t xml:space="preserve">6. Multi-tenancy and isolation</w:t>
      </w:r>
    </w:p>
    <w:p>
      <w:pPr>
        <w:spacing w:after="140" w:line="276"/>
      </w:pPr>
      <w:r>
        <w:t xml:space="preserve">Decision: per-client siloed storage and renderers — the strongest isolation short of fully separate cloud accounts, appropriate for agency work where clients may be competitors and contractually demand separation.</w:t>
      </w:r>
    </w:p>
    <w:p>
      <w:pPr>
        <w:pStyle w:val="Heading3"/>
      </w:pPr>
      <w:r>
        <w:t xml:space="preserve">Shared control plane (stateless)</w:t>
      </w:r>
    </w:p>
    <w:p>
      <w:pPr>
        <w:pStyle w:val="ListParagraph"/>
        <w:numPr>
          <w:ilvl w:val="0"/>
          <w:numId w:val="2"/>
        </w:numPr>
        <w:spacing w:after="70" w:line="270"/>
      </w:pPr>
      <w:r>
        <w:t xml:space="preserve">Identity, login, and RBAC.</w:t>
      </w:r>
    </w:p>
    <w:p>
      <w:pPr>
        <w:pStyle w:val="ListParagraph"/>
        <w:numPr>
          <w:ilvl w:val="0"/>
          <w:numId w:val="2"/>
        </w:numPr>
        <w:spacing w:after="70" w:line="270"/>
      </w:pPr>
      <w:r>
        <w:t xml:space="preserve">Agent orchestration logic — tenant-agnostic.</w:t>
      </w:r>
    </w:p>
    <w:p>
      <w:pPr>
        <w:pStyle w:val="ListParagraph"/>
        <w:numPr>
          <w:ilvl w:val="0"/>
          <w:numId w:val="2"/>
        </w:numPr>
        <w:spacing w:after="70" w:line="270"/>
      </w:pPr>
      <w:r>
        <w:t xml:space="preserve">Tenant router — issues a scoped token per request and directs it to the correct silo.</w:t>
      </w:r>
    </w:p>
    <w:p>
      <w:pPr>
        <w:pStyle w:val="Heading3"/>
      </w:pPr>
      <w:r>
        <w:t xml:space="preserve">Per-client data plane (fully isolated)</w:t>
      </w:r>
    </w:p>
    <w:p>
      <w:pPr>
        <w:pStyle w:val="ListParagraph"/>
        <w:numPr>
          <w:ilvl w:val="0"/>
          <w:numId w:val="2"/>
        </w:numPr>
        <w:spacing w:after="70" w:line="270"/>
      </w:pPr>
      <w:r>
        <w:t xml:space="preserve">Dedicated CE.SDK renderer instance.</w:t>
      </w:r>
    </w:p>
    <w:p>
      <w:pPr>
        <w:pStyle w:val="ListParagraph"/>
        <w:numPr>
          <w:ilvl w:val="0"/>
          <w:numId w:val="2"/>
        </w:numPr>
        <w:spacing w:after="70" w:line="270"/>
      </w:pPr>
      <w:r>
        <w:t xml:space="preserve">Own database (templates, lock manifests, render metadata).</w:t>
      </w:r>
    </w:p>
    <w:p>
      <w:pPr>
        <w:pStyle w:val="ListParagraph"/>
        <w:numPr>
          <w:ilvl w:val="0"/>
          <w:numId w:val="2"/>
        </w:numPr>
        <w:spacing w:after="70" w:line="270"/>
      </w:pPr>
      <w:r>
        <w:t xml:space="preserve">Own asset storage and brand kit.</w:t>
      </w:r>
    </w:p>
    <w:p>
      <w:pPr>
        <w:pStyle w:val="ListParagraph"/>
        <w:numPr>
          <w:ilvl w:val="0"/>
          <w:numId w:val="2"/>
        </w:numPr>
        <w:spacing w:after="70" w:line="270"/>
      </w:pPr>
      <w:r>
        <w:t xml:space="preserve">Per-tenant encryption keys; optionally client-held.</w:t>
      </w:r>
    </w:p>
    <w:p>
      <w:pPr>
        <w:pStyle w:val="ListParagraph"/>
        <w:numPr>
          <w:ilvl w:val="0"/>
          <w:numId w:val="2"/>
        </w:numPr>
        <w:spacing w:after="70" w:line="270"/>
      </w:pPr>
      <w:r>
        <w:t xml:space="preserve">No code path from one tenant’s data plane to another’s.</w:t>
      </w:r>
    </w:p>
    <w:p>
      <w:pPr>
        <w:spacing w:after="140" w:line="276"/>
      </w:pPr>
      <w:r>
        <w:rPr>
          <w:b/>
          <w:bCs/>
        </w:rPr>
        <w:t xml:space="preserve">Trade-off. </w:t>
      </w:r>
      <w:r>
        <w:t xml:space="preserve">A dedicated renderer and datastore per client means provisioning and cost scale with client count, not just usage. Mitigate by making silos cheap to stand up (one Terraform module per tenant) and keeping the expensive-to-operate control plane shared.</w:t>
      </w:r>
    </w:p>
    <w:p>
      <w:pPr>
        <w:pStyle w:val="Heading1"/>
      </w:pPr>
      <w:r>
        <w:t xml:space="preserve">7. Safety and governance</w:t>
      </w:r>
    </w:p>
    <w:p>
      <w:pPr>
        <w:spacing w:after="140" w:line="276"/>
      </w:pPr>
      <w:r>
        <w:t xml:space="preserve">All four safety surfaces are in scope. They are not one gate but four checkpoints at different points in the pipeline, because each catches a different class of problem at the only moment it can be caught. Every step writes to an immutable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4660"/>
      </w:tblGrid>
      <w:tr>
        <w:trPr>
          <w:tblHeader/>
        </w:trPr>
        <w:tc>
          <w:tcPr>
            <w:tcW w:type="dxa" w:w="24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Checkpoint</w:t>
            </w:r>
          </w:p>
        </w:tc>
        <w:tc>
          <w:tcPr>
            <w:tcW w:type="dxa" w:w="23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When</w:t>
            </w:r>
          </w:p>
        </w:tc>
        <w:tc>
          <w:tcPr>
            <w:tcW w:type="dxa" w:w="46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What it catches</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1. Input moderation</w:t>
            </w:r>
          </w:p>
        </w:tc>
        <w:tc>
          <w:tcPr>
            <w:tcW w:type="dxa" w:w="2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Before generation</w:t>
            </w:r>
          </w:p>
        </w:tc>
        <w:tc>
          <w:tcPr>
            <w:tcW w:type="dxa" w:w="4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Unsafe or non-compliant prompts (Agents SDK guardrails)</w:t>
            </w:r>
          </w:p>
        </w:tc>
      </w:tr>
      <w:tr>
        <w:tc>
          <w:tcPr>
            <w:tcW w:type="dxa" w:w="24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2. Asset moderation</w:t>
            </w:r>
          </w:p>
        </w:tc>
        <w:tc>
          <w:tcPr>
            <w:tcW w:type="dxa" w:w="2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After generation</w:t>
            </w:r>
          </w:p>
        </w:tc>
        <w:tc>
          <w:tcPr>
            <w:tcW w:type="dxa" w:w="4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Unsafe or off-policy generated images and copy</w:t>
            </w:r>
          </w:p>
        </w:tc>
      </w:tr>
      <w:tr>
        <w:tc>
          <w:tcPr>
            <w:tcW w:type="dxa" w:w="24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3. Brand + legal checks</w:t>
            </w:r>
          </w:p>
        </w:tc>
        <w:tc>
          <w:tcPr>
            <w:tcW w:type="dxa" w:w="2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On the output</w:t>
            </w:r>
          </w:p>
        </w:tc>
        <w:tc>
          <w:tcPr>
            <w:tcW w:type="dxa" w:w="46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Palette violations, unsupported claims, safe-zone breaches</w:t>
            </w:r>
          </w:p>
        </w:tc>
      </w:tr>
      <w:tr>
        <w:tc>
          <w:tcPr>
            <w:tcW w:type="dxa" w:w="24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4. Human approval gate</w:t>
            </w:r>
          </w:p>
        </w:tc>
        <w:tc>
          <w:tcPr>
            <w:tcW w:type="dxa" w:w="2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Before release</w:t>
            </w:r>
          </w:p>
        </w:tc>
        <w:tc>
          <w:tcPr>
            <w:tcW w:type="dxa" w:w="46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Final judgement; approve, reject, route back for a batch</w:t>
            </w:r>
          </w:p>
        </w:tc>
      </w:tr>
    </w:tbl>
    <w:p>
      <w:pPr>
        <w:spacing w:after="140" w:line="276"/>
      </w:pPr>
      <w:r>
        <w:rPr>
          <w:b/>
          <w:bCs/>
        </w:rPr>
        <w:t xml:space="preserve">Division of labour. </w:t>
      </w:r>
      <w:r>
        <w:t xml:space="preserve">Locks handle deterministic rules (the logo cannot move); checkpoint 3 handles the judgement calls locks cannot express (an unsupported claim, an off-tone background). Variations inherit the brand kit and safe zones from the approved master, so they are on-brand by construction — but a large batch still gets a review surface (spot-check, approve-all, reject individual cells) before anything pushes to a paid-media platform.</w:t>
      </w:r>
    </w:p>
    <w:p>
      <w:pPr>
        <w:pStyle w:val="Heading2"/>
      </w:pPr>
      <w:r>
        <w:t xml:space="preserve">7.1 Security model summary</w:t>
      </w:r>
    </w:p>
    <w:p>
      <w:pPr>
        <w:pStyle w:val="ListParagraph"/>
        <w:numPr>
          <w:ilvl w:val="0"/>
          <w:numId w:val="2"/>
        </w:numPr>
        <w:spacing w:after="70" w:line="270"/>
      </w:pPr>
      <w:r>
        <w:rPr>
          <w:b/>
          <w:bCs/>
        </w:rPr>
        <w:t xml:space="preserve">Transport. </w:t>
      </w:r>
      <w:r>
        <w:t xml:space="preserve">TLS everywhere; internal services not internet-exposed; private VPC networking between layers.</w:t>
      </w:r>
    </w:p>
    <w:p>
      <w:pPr>
        <w:pStyle w:val="ListParagraph"/>
        <w:numPr>
          <w:ilvl w:val="0"/>
          <w:numId w:val="2"/>
        </w:numPr>
        <w:spacing w:after="70" w:line="270"/>
      </w:pPr>
      <w:r>
        <w:rPr>
          <w:b/>
          <w:bCs/>
        </w:rPr>
        <w:t xml:space="preserve">AuthN/AuthZ. </w:t>
      </w:r>
      <w:r>
        <w:t xml:space="preserve">SSO at the edge; short-lived OIDC service tokens internally; authorisation enforced inside each service, never inferred from caller-supplied metadata.</w:t>
      </w:r>
    </w:p>
    <w:p>
      <w:pPr>
        <w:pStyle w:val="ListParagraph"/>
        <w:numPr>
          <w:ilvl w:val="0"/>
          <w:numId w:val="2"/>
        </w:numPr>
        <w:spacing w:after="70" w:line="270"/>
      </w:pPr>
      <w:r>
        <w:rPr>
          <w:b/>
          <w:bCs/>
        </w:rPr>
        <w:t xml:space="preserve">Secrets. </w:t>
      </w:r>
      <w:r>
        <w:t xml:space="preserve">All secrets in Secret Manager, injected at runtime, never in images or the repo.</w:t>
      </w:r>
    </w:p>
    <w:p>
      <w:pPr>
        <w:pStyle w:val="ListParagraph"/>
        <w:numPr>
          <w:ilvl w:val="0"/>
          <w:numId w:val="2"/>
        </w:numPr>
        <w:spacing w:after="70" w:line="270"/>
      </w:pPr>
      <w:r>
        <w:rPr>
          <w:b/>
          <w:bCs/>
        </w:rPr>
        <w:t xml:space="preserve">Prompt injection. </w:t>
      </w:r>
      <w:r>
        <w:t xml:space="preserve">Briefs, filenames, and ingested documents are treated as data, not instructions; the lock manifest cannot be overridden by generated content or prompts.</w:t>
      </w:r>
    </w:p>
    <w:p>
      <w:pPr>
        <w:pStyle w:val="ListParagraph"/>
        <w:numPr>
          <w:ilvl w:val="0"/>
          <w:numId w:val="2"/>
        </w:numPr>
        <w:spacing w:after="70" w:line="270"/>
      </w:pPr>
      <w:r>
        <w:rPr>
          <w:b/>
          <w:bCs/>
        </w:rPr>
        <w:t xml:space="preserve">Audit. </w:t>
      </w:r>
      <w:r>
        <w:t xml:space="preserve">Immutable records of tenant, identity, tool, arguments (PII-redacted), lock decisions, and outcome — evidence for SOC2/GDPR-style review.</w:t>
      </w:r>
    </w:p>
    <w:p>
      <w:r>
        <w:br w:type="page"/>
      </w:r>
    </w:p>
    <w:p>
      <w:pPr>
        <w:pStyle w:val="Heading1"/>
      </w:pPr>
      <w:r>
        <w:t xml:space="preserve">8. GCP hosting and deployment</w:t>
      </w:r>
    </w:p>
    <w:p>
      <w:pPr>
        <w:pStyle w:val="Heading2"/>
      </w:pPr>
      <w:r>
        <w:t xml:space="preserve">8.1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Component</w:t>
            </w:r>
          </w:p>
        </w:tc>
        <w:tc>
          <w:tcPr>
            <w:tcW w:type="dxa" w:w="31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GCP service</w:t>
            </w:r>
          </w:p>
        </w:tc>
        <w:tc>
          <w:tcPr>
            <w:tcW w:type="dxa" w:w="37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Why</w:t>
            </w:r>
          </w:p>
        </w:tc>
      </w:tr>
      <w:tr>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MCP server (tool calls)</w:t>
            </w:r>
          </w:p>
        </w:tc>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Cloud Run, min-instances ≥ 1</w:t>
            </w:r>
          </w:p>
        </w:tc>
        <w:tc>
          <w:tcPr>
            <w:tcW w:type="dxa" w:w="3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Stateless, bursty; warm instance avoids cold-start on the agent path</w:t>
            </w:r>
          </w:p>
        </w:tc>
      </w:tr>
      <w:tr>
        <w:tc>
          <w:tcPr>
            <w:tcW w:type="dxa" w:w="2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Batch renderer</w:t>
            </w:r>
          </w:p>
        </w:tc>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Cloud Run Jobs → GKE Autopilot</w:t>
            </w:r>
          </w:p>
        </w:tc>
        <w:tc>
          <w:tcPr>
            <w:tcW w:type="dxa" w:w="37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Long-running, memory-heavy headless engine</w:t>
            </w:r>
          </w:p>
        </w:tc>
      </w:tr>
      <w:tr>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Job queue</w:t>
            </w:r>
          </w:p>
        </w:tc>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Cloud Tasks / Pub/Sub</w:t>
            </w:r>
          </w:p>
        </w:tc>
        <w:tc>
          <w:tcPr>
            <w:tcW w:type="dxa" w:w="3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Decouples authoring from rendering</w:t>
            </w:r>
          </w:p>
        </w:tc>
      </w:tr>
      <w:tr>
        <w:tc>
          <w:tcPr>
            <w:tcW w:type="dxa" w:w="2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Tenant DB</w:t>
            </w:r>
          </w:p>
        </w:tc>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Cloud SQL / AlloyDB, per tenant</w:t>
            </w:r>
          </w:p>
        </w:tc>
        <w:tc>
          <w:tcPr>
            <w:tcW w:type="dxa" w:w="37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Templates, lock manifests, metadata</w:t>
            </w:r>
          </w:p>
        </w:tc>
      </w:tr>
      <w:tr>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Asset storage</w:t>
            </w:r>
          </w:p>
        </w:tc>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Cloud Storage, one bucket per tenant</w:t>
            </w:r>
          </w:p>
        </w:tc>
        <w:tc>
          <w:tcPr>
            <w:tcW w:type="dxa" w:w="3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.scene files, renders, brand kits</w:t>
            </w:r>
          </w:p>
        </w:tc>
      </w:tr>
      <w:tr>
        <w:tc>
          <w:tcPr>
            <w:tcW w:type="dxa" w:w="2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Secrets</w:t>
            </w:r>
          </w:p>
        </w:tc>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Secret Manager</w:t>
            </w:r>
          </w:p>
        </w:tc>
        <w:tc>
          <w:tcPr>
            <w:tcW w:type="dxa" w:w="37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Runtime secret injection</w:t>
            </w:r>
          </w:p>
        </w:tc>
      </w:tr>
      <w:tr>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Keys</w:t>
            </w:r>
          </w:p>
        </w:tc>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Cloud KMS (CMEK optional)</w:t>
            </w:r>
          </w:p>
        </w:tc>
        <w:tc>
          <w:tcPr>
            <w:tcW w:type="dxa" w:w="3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Per-tenant encryption</w:t>
            </w:r>
          </w:p>
        </w:tc>
      </w:tr>
      <w:tr>
        <w:tc>
          <w:tcPr>
            <w:tcW w:type="dxa" w:w="2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Identity (workload)</w:t>
            </w:r>
          </w:p>
        </w:tc>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Workload Identity + OIDC</w:t>
            </w:r>
          </w:p>
        </w:tc>
        <w:tc>
          <w:tcPr>
            <w:tcW w:type="dxa" w:w="37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No static service-account keys</w:t>
            </w:r>
          </w:p>
        </w:tc>
      </w:tr>
      <w:tr>
        <w:tc>
          <w:tcPr>
            <w:tcW w:type="dxa" w:w="25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Edge</w:t>
            </w:r>
          </w:p>
        </w:tc>
        <w:tc>
          <w:tcPr>
            <w:tcW w:type="dxa" w:w="31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Cloud Load Balancing + Cloud Armor</w:t>
            </w:r>
          </w:p>
        </w:tc>
        <w:tc>
          <w:tcPr>
            <w:tcW w:type="dxa" w:w="37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TLS, WAF, rate limiting</w:t>
            </w:r>
          </w:p>
        </w:tc>
      </w:tr>
      <w:tr>
        <w:tc>
          <w:tcPr>
            <w:tcW w:type="dxa" w:w="25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Observability</w:t>
            </w:r>
          </w:p>
        </w:tc>
        <w:tc>
          <w:tcPr>
            <w:tcW w:type="dxa" w:w="31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Cloud Logging / Monitoring / Trace</w:t>
            </w:r>
          </w:p>
        </w:tc>
        <w:tc>
          <w:tcPr>
            <w:tcW w:type="dxa" w:w="37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Plus Agents SDK tracing</w:t>
            </w:r>
          </w:p>
        </w:tc>
      </w:tr>
    </w:tbl>
    <w:p>
      <w:pPr>
        <w:pStyle w:val="Heading2"/>
      </w:pPr>
      <w:r>
        <w:t xml:space="preserve">8.2 Cloud Run first, GKE later</w:t>
      </w:r>
    </w:p>
    <w:p>
      <w:pPr>
        <w:spacing w:after="140" w:line="276"/>
      </w:pPr>
      <w:r>
        <w:t xml:space="preserve">Cloud Run is the right default for the stateless tool-call service: no cluster to manage, scales with bursts, near-zero idle cost. Escalate the renderer to GKE only on a concrete trigger — sustained high batch volume, GPU scheduling for generation, or per-tenant node isolation that Jobs cannot satisfy. Both run standard OCI containers, so moving later means adding manifests, not rewriting. Do not start on GKE for prestige; it is an operational tax until a Kubernetes primitive is actually needed.</w:t>
      </w:r>
    </w:p>
    <w:p>
      <w:pPr>
        <w:pStyle w:val="Heading2"/>
      </w:pPr>
      <w:r>
        <w:t xml:space="preserve">8.3 Data residency</w:t>
      </w:r>
    </w:p>
    <w:p>
      <w:pPr>
        <w:spacing w:after="140" w:line="276"/>
      </w:pPr>
      <w:r>
        <w:t xml:space="preserve">Where a client requires regional residency, pin that tenant’s Cloud Run region, database, and bucket to the region, and confirm the OpenAI side honours the matching residency/ZDR terms. Residency is per-tenant configuration, not a global setting.</w:t>
      </w:r>
    </w:p>
    <w:p>
      <w:pPr>
        <w:pStyle w:val="Heading1"/>
      </w:pPr>
      <w:r>
        <w:t xml:space="preserve">9. Engineering specification</w:t>
      </w:r>
    </w:p>
    <w:p>
      <w:pPr>
        <w:pStyle w:val="Heading2"/>
      </w:pPr>
      <w:r>
        <w:t xml:space="preserve">9.1 Repository layout</w:t>
      </w:r>
    </w:p>
    <w:p>
      <w:pPr>
        <w:spacing w:after="140" w:line="276"/>
      </w:pPr>
      <w:r>
        <w:t xml:space="preserve">Monorepo. The MCP server and renderer are Node/TypeScript to match CE.SDK; the agent orchestration is Python to match the Agents SDK; they meet over the Streamable HTTP boundary.</w:t>
      </w:r>
    </w:p>
    <w:p>
      <w:pPr>
        <w:spacing w:after="140"/>
      </w:pPr>
      <w:r>
        <w:rPr>
          <w:rFonts w:ascii="Consolas" w:cs="Consolas" w:eastAsia="Consolas" w:hAnsi="Consolas"/>
          <w:sz w:val="18"/>
          <w:szCs w:val="18"/>
        </w:rPr>
        <w:t xml:space="preserve">dept-canvas/
  orchestration/        # Python — OpenAI Agents SDK
    planner/  authoring/  variation/  guardrails/
  scene-mcp/            # Node/TS — MCP server (Streamable HTTP)
    src/tools/  src/engine/  src/locks/  src/auth/  src/audit/
  renderer/             # Node/TS — batch render worker (job)
  edge/                 # public API, token validation, tenant routing
  infra/                # Terraform
    modules/tenant/     # bucket, DB, KMS, Cloud Run svc, IAM per tenant
    shared/             # control plane, queue, edge, registry
  spec/                 # this document + tool schemas</w:t>
      </w:r>
    </w:p>
    <w:p>
      <w:pPr>
        <w:pStyle w:val="Heading2"/>
      </w:pPr>
      <w:r>
        <w:t xml:space="preserve">9.2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Component</w:t>
            </w:r>
          </w:p>
        </w:tc>
        <w:tc>
          <w:tcPr>
            <w:tcW w:type="dxa" w:w="26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Language/runtime</w:t>
            </w:r>
          </w:p>
        </w:tc>
        <w:tc>
          <w:tcPr>
            <w:tcW w:type="dxa" w:w="45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Responsibility</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Edge API</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Node or Python</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TLS, session validation, tenant routing, rate limiting</w:t>
            </w:r>
          </w:p>
        </w:tc>
      </w:tr>
      <w:tr>
        <w:tc>
          <w:tcPr>
            <w:tcW w:type="dxa" w:w="2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Orchestration</w:t>
            </w:r>
          </w:p>
        </w:tc>
        <w:tc>
          <w:tcPr>
            <w:tcW w:type="dxa" w:w="26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Python (Agents SDK)</w:t>
            </w:r>
          </w:p>
        </w:tc>
        <w:tc>
          <w:tcPr>
            <w:tcW w:type="dxa" w:w="45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Planner, authoring, variation agents; guardrails</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Scene-MCP server</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Node/TS + CE.SDK</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Tool surface; lock enforcement; scene authoring</w:t>
            </w:r>
          </w:p>
        </w:tc>
      </w:tr>
      <w:tr>
        <w:tc>
          <w:tcPr>
            <w:tcW w:type="dxa" w:w="2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Renderer</w:t>
            </w:r>
          </w:p>
        </w:tc>
        <w:tc>
          <w:tcPr>
            <w:tcW w:type="dxa" w:w="26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Node/TS + CE.SDK</w:t>
            </w:r>
          </w:p>
        </w:tc>
        <w:tc>
          <w:tcPr>
            <w:tcW w:type="dxa" w:w="45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Batch render variants; generate-once/render-many</w:t>
            </w:r>
          </w:p>
        </w:tc>
      </w:tr>
      <w:tr>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Generation</w:t>
            </w:r>
          </w:p>
        </w:tc>
        <w:tc>
          <w:tcPr>
            <w:tcW w:type="dxa" w:w="26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OpenAI API</w:t>
            </w:r>
          </w:p>
        </w:tc>
        <w:tc>
          <w:tcPr>
            <w:tcW w:type="dxa" w:w="45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Copy, image, background (called only by MCP server)</w:t>
            </w:r>
          </w:p>
        </w:tc>
      </w:tr>
    </w:tbl>
    <w:p>
      <w:pPr>
        <w:pStyle w:val="Heading2"/>
      </w:pPr>
      <w:r>
        <w:t xml:space="preserve">9.3 Key data objects</w:t>
      </w:r>
    </w:p>
    <w:p>
      <w:pPr>
        <w:pStyle w:val="ListParagraph"/>
        <w:numPr>
          <w:ilvl w:val="0"/>
          <w:numId w:val="2"/>
        </w:numPr>
        <w:spacing w:after="70" w:line="270"/>
      </w:pPr>
      <w:r>
        <w:rPr>
          <w:b/>
          <w:bCs/>
        </w:rPr>
        <w:t xml:space="preserve">Scene file (.scene). </w:t>
      </w:r>
      <w:r>
        <w:t xml:space="preserve">The editable project the authoring agent produces and the editor opens.</w:t>
      </w:r>
    </w:p>
    <w:p>
      <w:pPr>
        <w:pStyle w:val="ListParagraph"/>
        <w:numPr>
          <w:ilvl w:val="0"/>
          <w:numId w:val="2"/>
        </w:numPr>
        <w:spacing w:after="70" w:line="270"/>
      </w:pPr>
      <w:r>
        <w:rPr>
          <w:b/>
          <w:bCs/>
        </w:rPr>
        <w:t xml:space="preserve">Lock manifest. </w:t>
      </w:r>
      <w:r>
        <w:t xml:space="preserve">Per-template record of which properties are frozen; loaded into every job and enforced by the MCP server.</w:t>
      </w:r>
    </w:p>
    <w:p>
      <w:pPr>
        <w:pStyle w:val="ListParagraph"/>
        <w:numPr>
          <w:ilvl w:val="0"/>
          <w:numId w:val="2"/>
        </w:numPr>
        <w:spacing w:after="70" w:line="270"/>
      </w:pPr>
      <w:r>
        <w:rPr>
          <w:b/>
          <w:bCs/>
        </w:rPr>
        <w:t xml:space="preserve">Animation plan. </w:t>
      </w:r>
      <w:r>
        <w:t xml:space="preserve">Structured, human-approvable output of the planner; the contract the authoring agent executes against.</w:t>
      </w:r>
    </w:p>
    <w:p>
      <w:pPr>
        <w:pStyle w:val="ListParagraph"/>
        <w:numPr>
          <w:ilvl w:val="0"/>
          <w:numId w:val="2"/>
        </w:numPr>
        <w:spacing w:after="70" w:line="270"/>
      </w:pPr>
      <w:r>
        <w:rPr>
          <w:b/>
          <w:bCs/>
        </w:rPr>
        <w:t xml:space="preserve">Variation matrix. </w:t>
      </w:r>
      <w:r>
        <w:t xml:space="preserve">The size × duration × copy × background axes and their per-layer variable/fixed/locked states.</w:t>
      </w:r>
    </w:p>
    <w:p>
      <w:pPr>
        <w:pStyle w:val="ListParagraph"/>
        <w:numPr>
          <w:ilvl w:val="0"/>
          <w:numId w:val="2"/>
        </w:numPr>
        <w:spacing w:after="70" w:line="270"/>
      </w:pPr>
      <w:r>
        <w:rPr>
          <w:b/>
          <w:bCs/>
        </w:rPr>
        <w:t xml:space="preserve">Audit record. </w:t>
      </w:r>
      <w:r>
        <w:t xml:space="preserve">Immutable per-step log across the safety pipeline.</w:t>
      </w:r>
    </w:p>
    <w:p>
      <w:pPr>
        <w:pStyle w:val="Heading2"/>
      </w:pPr>
      <w:r>
        <w:t xml:space="preserve">9.4 Build sequence (de-risk first)</w:t>
      </w:r>
    </w:p>
    <w:p>
      <w:pPr>
        <w:pStyle w:val="ListParagraph"/>
        <w:numPr>
          <w:ilvl w:val="0"/>
          <w:numId w:val="4"/>
        </w:numPr>
        <w:spacing w:after="90" w:line="270"/>
      </w:pPr>
      <w:r>
        <w:t xml:space="preserve">Spike: programmatic authoring. Headless CE.SDK in a container — create blocks, set keyframes, save a .scene the editor reopens cleanly. Confirm keyframable properties and easing. Retire the biggest unknown first.</w:t>
      </w:r>
    </w:p>
    <w:p>
      <w:pPr>
        <w:pStyle w:val="ListParagraph"/>
        <w:numPr>
          <w:ilvl w:val="0"/>
          <w:numId w:val="4"/>
        </w:numPr>
        <w:spacing w:after="90" w:line="270"/>
      </w:pPr>
      <w:r>
        <w:t xml:space="preserve">Minimal MCP server. create_scene, create_block, set_properties, save_scene over Streamable HTTP; connect from an Agents SDK agent.</w:t>
      </w:r>
    </w:p>
    <w:p>
      <w:pPr>
        <w:pStyle w:val="ListParagraph"/>
        <w:numPr>
          <w:ilvl w:val="0"/>
          <w:numId w:val="4"/>
        </w:numPr>
        <w:spacing w:after="90" w:line="270"/>
      </w:pPr>
      <w:r>
        <w:t xml:space="preserve">Locks. apply_lock_manifest + enforcement in set_properties/set_keyframe; prove a write to a frozen property is hard-rejected and audited.</w:t>
      </w:r>
    </w:p>
    <w:p>
      <w:pPr>
        <w:pStyle w:val="ListParagraph"/>
        <w:numPr>
          <w:ilvl w:val="0"/>
          <w:numId w:val="4"/>
        </w:numPr>
        <w:spacing w:after="90" w:line="270"/>
      </w:pPr>
      <w:r>
        <w:t xml:space="preserve">Generation + safety. generate_asset through input moderation → OpenAI → asset moderation → brand/legal, returned as a fill.</w:t>
      </w:r>
    </w:p>
    <w:p>
      <w:pPr>
        <w:pStyle w:val="ListParagraph"/>
        <w:numPr>
          <w:ilvl w:val="0"/>
          <w:numId w:val="4"/>
        </w:numPr>
        <w:spacing w:after="90" w:line="270"/>
      </w:pPr>
      <w:r>
        <w:t xml:space="preserve">Renderer + queue. render_variant → Cloud Tasks → Cloud Run Job; generate-once/render-many fan-out.</w:t>
      </w:r>
    </w:p>
    <w:p>
      <w:pPr>
        <w:pStyle w:val="ListParagraph"/>
        <w:numPr>
          <w:ilvl w:val="0"/>
          <w:numId w:val="4"/>
        </w:numPr>
        <w:spacing w:after="90" w:line="270"/>
      </w:pPr>
      <w:r>
        <w:t xml:space="preserve">Tenancy + hardening. Scoped tokens, per-tenant bucket/DB/KMS, private networking, SSO at the edge, audit sink, Terraform tenant module.</w:t>
      </w:r>
    </w:p>
    <w:p>
      <w:pPr>
        <w:pStyle w:val="ListParagraph"/>
        <w:numPr>
          <w:ilvl w:val="0"/>
          <w:numId w:val="4"/>
        </w:numPr>
        <w:spacing w:after="90" w:line="270"/>
      </w:pPr>
      <w:r>
        <w:t xml:space="preserve">Enterprise surfaces. SSO/SCIM, RBAC, batch review-and-approve, delivery connectors.</w:t>
      </w:r>
    </w:p>
    <w:p>
      <w:pPr>
        <w:pStyle w:val="Heading1"/>
      </w:pPr>
      <w:r>
        <w:t xml:space="preserve">10. Open risks and decisions to retire</w:t>
      </w:r>
    </w:p>
    <w:p>
      <w:pPr>
        <w:pStyle w:val="ListParagraph"/>
        <w:numPr>
          <w:ilvl w:val="0"/>
          <w:numId w:val="5"/>
        </w:numPr>
        <w:spacing w:after="90" w:line="270"/>
      </w:pPr>
      <w:r>
        <w:t xml:space="preserve">Reliable scene authoring (highest). The novel risk is the authoring agent producing valid, render-ready .scene files across varied briefs while respecting the lock manifest. First spike; target a high success rate before building downstream.</w:t>
      </w:r>
    </w:p>
    <w:p>
      <w:pPr>
        <w:pStyle w:val="ListParagraph"/>
        <w:numPr>
          <w:ilvl w:val="0"/>
          <w:numId w:val="5"/>
        </w:numPr>
        <w:spacing w:after="90" w:line="270"/>
      </w:pPr>
      <w:r>
        <w:t xml:space="preserve">Animation-property coverage. Confirm which properties are keyframable and which easing options exist in the current engine version — a half-day spike, not a research question.</w:t>
      </w:r>
    </w:p>
    <w:p>
      <w:pPr>
        <w:pStyle w:val="ListParagraph"/>
        <w:numPr>
          <w:ilvl w:val="0"/>
          <w:numId w:val="5"/>
        </w:numPr>
        <w:spacing w:after="90" w:line="270"/>
      </w:pPr>
      <w:r>
        <w:t xml:space="preserve">Smart resize fidelity. Per-aspect-ratio auto-resize is real, but meaningful re-composition needs per-template layout rules. Scope which formats are hands-off versus which need a QA pass.</w:t>
      </w:r>
    </w:p>
    <w:p>
      <w:pPr>
        <w:pStyle w:val="ListParagraph"/>
        <w:numPr>
          <w:ilvl w:val="0"/>
          <w:numId w:val="5"/>
        </w:numPr>
        <w:spacing w:after="90" w:line="270"/>
      </w:pPr>
      <w:r>
        <w:t xml:space="preserve">Python/Node boundary. The Agents SDK (Python) calls the renderer (Node) over Streamable HTTP. Design and load-test this seam early.</w:t>
      </w:r>
    </w:p>
    <w:p>
      <w:pPr>
        <w:pStyle w:val="ListParagraph"/>
        <w:numPr>
          <w:ilvl w:val="0"/>
          <w:numId w:val="5"/>
        </w:numPr>
        <w:spacing w:after="90" w:line="270"/>
      </w:pPr>
      <w:r>
        <w:t xml:space="preserve">Cost at scale. Variation count is multiplicative. Surface estimated cost/time before a batch runs; enforce generate-once/render-many.</w:t>
      </w:r>
    </w:p>
    <w:p>
      <w:pPr>
        <w:pStyle w:val="ListParagraph"/>
        <w:numPr>
          <w:ilvl w:val="0"/>
          <w:numId w:val="5"/>
        </w:numPr>
        <w:spacing w:after="90" w:line="270"/>
      </w:pPr>
      <w:r>
        <w:t xml:space="preserve">Per-tenant cost. Siloing scales infrastructure with client count. Keep the per-tenant Terraform module cheap and automated; consider a shared warm pool with strict token scoping for low-traffic tenants.</w:t>
      </w:r>
    </w:p>
    <w:p>
      <w:r>
        <w:br w:type="page"/>
      </w:r>
    </w:p>
    <w:p>
      <w:pPr>
        <w:pStyle w:val="Heading1"/>
      </w:pPr>
      <w:r>
        <w:t xml:space="preserve">12. AI-generated motion mapping</w:t>
      </w:r>
    </w:p>
    <w:p>
      <w:pPr>
        <w:spacing w:after="140" w:line="276"/>
      </w:pPr>
      <w:r>
        <w:t xml:space="preserve">A core question for the build: do we need to teach the AI what a bounce, a transition, or motion blur is? No. That conceptual knowledge already exists in frontier models and is elicited through prompting, not training. What must be built is the binding between that knowledge and CE.SDK’s actual API — and even that is not authored by hand.</w:t>
      </w:r>
    </w:p>
    <w:p>
      <w:pPr>
        <w:pStyle w:val="Heading2"/>
      </w:pPr>
      <w:r>
        <w:t xml:space="preserve">12.1 Three kinds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Knowledge</w:t>
            </w:r>
          </w:p>
        </w:tc>
        <w:tc>
          <w:tcPr>
            <w:tcW w:type="dxa" w:w="33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Where it lives</w:t>
            </w:r>
          </w:p>
        </w:tc>
        <w:tc>
          <w:tcPr>
            <w:tcW w:type="dxa" w:w="31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How it's built</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What a bounce/transition is</w:t>
            </w:r>
          </w:p>
        </w:tc>
        <w:tc>
          <w:tcPr>
            <w:tcW w:type="dxa" w:w="3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Frontier model, pretrained</w:t>
            </w:r>
          </w:p>
        </w:tc>
        <w:tc>
          <w:tcPr>
            <w:tcW w:type="dxa" w:w="3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Nothing — elicited via prompting</w:t>
            </w:r>
          </w:p>
        </w:tc>
      </w:tr>
      <w:tr>
        <w:tc>
          <w:tcPr>
            <w:tcW w:type="dxa" w:w="29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How it maps to CE.SDK calls</w:t>
            </w:r>
          </w:p>
        </w:tc>
        <w:tc>
          <w:tcPr>
            <w:tcW w:type="dxa" w:w="3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Generated mapping (validated)</w:t>
            </w:r>
          </w:p>
        </w:tc>
        <w:tc>
          <w:tcPr>
            <w:tcW w:type="dxa" w:w="31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Mapping agent reads live docs + engine</w:t>
            </w:r>
          </w:p>
        </w:tc>
      </w:tr>
      <w:tr>
        <w:tc>
          <w:tcPr>
            <w:tcW w:type="dxa" w:w="29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DEPT house motion style</w:t>
            </w:r>
          </w:p>
        </w:tc>
        <w:tc>
          <w:tcPr>
            <w:tcW w:type="dxa" w:w="33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Planner prompt + rule sheet</w:t>
            </w:r>
          </w:p>
        </w:tc>
        <w:tc>
          <w:tcPr>
            <w:tcW w:type="dxa" w:w="31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Designers ratify a small rule sheet</w:t>
            </w:r>
          </w:p>
        </w:tc>
      </w:tr>
      <w:tr>
        <w:tc>
          <w:tcPr>
            <w:tcW w:type="dxa" w:w="29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Which move suits a brief</w:t>
            </w:r>
          </w:p>
        </w:tc>
        <w:tc>
          <w:tcPr>
            <w:tcW w:type="dxa" w:w="33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Planner agent at runtime</w:t>
            </w:r>
          </w:p>
        </w:tc>
        <w:tc>
          <w:tcPr>
            <w:tcW w:type="dxa" w:w="31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Prompt design + the mapping vocabulary</w:t>
            </w:r>
          </w:p>
        </w:tc>
      </w:tr>
    </w:tbl>
    <w:p>
      <w:pPr>
        <w:pStyle w:val="Heading2"/>
      </w:pPr>
      <w:r>
        <w:t xml:space="preserve">12.2 The primitives already exist in CE.SDK</w:t>
      </w:r>
    </w:p>
    <w:p>
      <w:pPr>
        <w:spacing w:after="140" w:line="276"/>
      </w:pPr>
      <w:r>
        <w:t xml:space="preserve">CE.SDK ships a named library of animation types organised into entrance (In), exit (Out), and loop categories — including slide, fade, zoom, spin, pop, wipe, typewriter, Ken Burns, pan, and a blur animation, plus a dedicated blur subsystem (uniform, linear, mirrored, radial) for motion-blur and depth-of-field effects. “Bounce” maps to pop or jump_loop; a “transition” maps to wipe or fade; “motion blur” maps to the blur animation or blur effect. Each type exposes queryable properties via findAllProperties(). The platform does not build a motion library — IMG.LY already did; the platform builds a thin mapping onto it.</w:t>
      </w:r>
    </w:p>
    <w:p>
      <w:pPr>
        <w:pStyle w:val="Heading2"/>
      </w:pPr>
      <w:r>
        <w:t xml:space="preserve">12.3 The mapping agent (Claude builds the mapping)</w:t>
      </w:r>
    </w:p>
    <w:p>
      <w:pPr>
        <w:spacing w:after="140" w:line="276"/>
      </w:pPr>
      <w:r>
        <w:t xml:space="preserve">The intent-to-primitive mapping is not a static table authored by hand. It is a build-time artifact produced and refreshed by a dedicated mapping agent, so it stays correct across SDK versions.</w:t>
      </w:r>
    </w:p>
    <w:p>
      <w:pPr>
        <w:spacing w:after="140" w:line="276"/>
      </w:pPr>
      <w:r>
        <w:t xml:space="preserve">Inputs: the live CE.SDK docs (via IMG.LY’s docs MCP), the engine’s own findAllProperties() output (ground truth for property keys), and the DEPT house-style rule sheet. Output: a validated intent_primitive_map.json. Mechanism: the agent classifies existing, named animation types against creative intents and assigns sane default parameters from the house-style rules; it does not invent primitives or hand-author keyframes.</w:t>
      </w:r>
    </w:p>
    <w:p>
      <w:pPr>
        <w:pStyle w:val="ListParagraph"/>
        <w:numPr>
          <w:ilvl w:val="0"/>
          <w:numId w:val="2"/>
        </w:numPr>
        <w:spacing w:after="70" w:line="270"/>
      </w:pPr>
      <w:r>
        <w:rPr>
          <w:b/>
          <w:bCs/>
        </w:rPr>
        <w:t xml:space="preserve">Each entry contains: </w:t>
      </w:r>
      <w:r>
        <w:t xml:space="preserve">the creative intent, the real CE.SDK animation type id, starter parameters (duration, easing, direction), and a confidence/needs-review flag.</w:t>
      </w:r>
    </w:p>
    <w:p>
      <w:pPr>
        <w:pStyle w:val="ListParagraph"/>
        <w:numPr>
          <w:ilvl w:val="0"/>
          <w:numId w:val="2"/>
        </w:numPr>
        <w:spacing w:after="70" w:line="270"/>
      </w:pPr>
      <w:r>
        <w:rPr>
          <w:b/>
          <w:bCs/>
        </w:rPr>
        <w:t xml:space="preserve">Validation: </w:t>
      </w:r>
      <w:r>
        <w:t xml:space="preserve">every type and property key the agent emits is checked against findAllProperties() from the running engine — a hallucinated property fails the build rather than shipping.</w:t>
      </w:r>
    </w:p>
    <w:p>
      <w:pPr>
        <w:pStyle w:val="ListParagraph"/>
        <w:numPr>
          <w:ilvl w:val="0"/>
          <w:numId w:val="2"/>
        </w:numPr>
        <w:spacing w:after="70" w:line="270"/>
      </w:pPr>
      <w:r>
        <w:rPr>
          <w:b/>
          <w:bCs/>
        </w:rPr>
        <w:t xml:space="preserve">Refresh: </w:t>
      </w:r>
      <w:r>
        <w:t xml:space="preserve">on an SDK version bump, re-run the agent; it slots new types against existing intents and flags genuinely new intents for human review. Nothing is edited by hand.</w:t>
      </w:r>
    </w:p>
    <w:p>
      <w:pPr>
        <w:spacing w:after="140" w:line="276"/>
      </w:pPr>
      <w:r>
        <w:rPr>
          <w:b/>
          <w:bCs/>
        </w:rPr>
        <w:t xml:space="preserve">What remains yours: </w:t>
      </w:r>
      <w:r>
        <w:t xml:space="preserve">two small artifacts — the house-style rule sheet (your designers’ taste: easing defaults, stagger timing, duration ranges, hard ‘never do’ rules) and a golden-set test (a dozen briefs with expected primitive choices) to detect regressions. Claude can draft the structure and a first pass of both; designers ratify the taste.</w:t>
      </w:r>
    </w:p>
    <w:p>
      <w:pPr>
        <w:spacing w:after="140" w:line="276"/>
      </w:pPr>
      <w:r>
        <w:rPr>
          <w:i/>
          <w:iCs/>
          <w:color w:val="5F5E5A"/>
          <w:sz w:val="18"/>
          <w:szCs w:val="18"/>
        </w:rPr>
        <w:t xml:space="preserve">The mapping agent is a fourth agent alongside planner/authoring/variation, but it runs at build time, not per request.</w:t>
      </w:r>
    </w:p>
    <w:p>
      <w:r>
        <w:br w:type="page"/>
      </w:r>
    </w:p>
    <w:p>
      <w:pPr>
        <w:pStyle w:val="Heading1"/>
      </w:pPr>
      <w:r>
        <w:t xml:space="preserve">13. UX / UI design</w:t>
      </w:r>
    </w:p>
    <w:p>
      <w:pPr>
        <w:pStyle w:val="Heading2"/>
      </w:pPr>
      <w:r>
        <w:t xml:space="preserve">13.1 Design thesis</w:t>
      </w:r>
    </w:p>
    <w:p>
      <w:pPr>
        <w:spacing w:after="140" w:line="276"/>
      </w:pPr>
      <w:r>
        <w:t xml:space="preserve">The product sits between Canva (approachable, shallow) and After Effects (deep, intimidating). The synthesis is progressive disclosure: a clean, approachable surface that reveals timeline and keyframe depth only when needed. A first-time user never has to see a keyframe; a motion designer is one click away from full control. AI is woven through as a contextual panel, not bolted on as a separate mode.</w:t>
      </w:r>
    </w:p>
    <w:p>
      <w:pPr>
        <w:pStyle w:val="Heading2"/>
      </w:pPr>
      <w:r>
        <w:t xml:space="preserve">13.2 Core layout</w:t>
      </w:r>
    </w:p>
    <w:p>
      <w:pPr>
        <w:pStyle w:val="ListParagraph"/>
        <w:numPr>
          <w:ilvl w:val="0"/>
          <w:numId w:val="2"/>
        </w:numPr>
        <w:spacing w:after="70" w:line="270"/>
      </w:pPr>
      <w:r>
        <w:rPr>
          <w:b/>
          <w:bCs/>
        </w:rPr>
        <w:t xml:space="preserve">Top bar. </w:t>
      </w:r>
      <w:r>
        <w:t xml:space="preserve">Project breadcrumb, save state, collaborators, preview, export, and the account avatar (profile, settings, log out).</w:t>
      </w:r>
    </w:p>
    <w:p>
      <w:pPr>
        <w:pStyle w:val="ListParagraph"/>
        <w:numPr>
          <w:ilvl w:val="0"/>
          <w:numId w:val="2"/>
        </w:numPr>
        <w:spacing w:after="70" w:line="270"/>
      </w:pPr>
      <w:r>
        <w:rPr>
          <w:b/>
          <w:bCs/>
        </w:rPr>
        <w:t xml:space="preserve">Left icon rail. </w:t>
      </w:r>
      <w:r>
        <w:t xml:space="preserve">Layers, assets, brand kit, text, shapes, and settings — switches the adjacent panel.</w:t>
      </w:r>
    </w:p>
    <w:p>
      <w:pPr>
        <w:pStyle w:val="ListParagraph"/>
        <w:numPr>
          <w:ilvl w:val="0"/>
          <w:numId w:val="2"/>
        </w:numPr>
        <w:spacing w:after="70" w:line="270"/>
      </w:pPr>
      <w:r>
        <w:rPr>
          <w:b/>
          <w:bCs/>
        </w:rPr>
        <w:t xml:space="preserve">Left panel. </w:t>
      </w:r>
      <w:r>
        <w:t xml:space="preserve">Contextual to the rail selection; defaults to the layers list with lock badges.</w:t>
      </w:r>
    </w:p>
    <w:p>
      <w:pPr>
        <w:pStyle w:val="ListParagraph"/>
        <w:numPr>
          <w:ilvl w:val="0"/>
          <w:numId w:val="2"/>
        </w:numPr>
        <w:spacing w:after="70" w:line="270"/>
      </w:pPr>
      <w:r>
        <w:rPr>
          <w:b/>
          <w:bCs/>
        </w:rPr>
        <w:t xml:space="preserve">Center canvas. </w:t>
      </w:r>
      <w:r>
        <w:t xml:space="preserve">The focus. A Design/Animate toggle and a format switcher (1:1, 9:16, 16:9, 4:5) sit above it.</w:t>
      </w:r>
    </w:p>
    <w:p>
      <w:pPr>
        <w:pStyle w:val="ListParagraph"/>
        <w:numPr>
          <w:ilvl w:val="0"/>
          <w:numId w:val="2"/>
        </w:numPr>
        <w:spacing w:after="70" w:line="270"/>
      </w:pPr>
      <w:r>
        <w:rPr>
          <w:b/>
          <w:bCs/>
        </w:rPr>
        <w:t xml:space="preserve">Right panel. </w:t>
      </w:r>
      <w:r>
        <w:t xml:space="preserve">Contextual AI assist actions for the selected layer, plus that layer’s properties.</w:t>
      </w:r>
    </w:p>
    <w:p>
      <w:pPr>
        <w:pStyle w:val="ListParagraph"/>
        <w:numPr>
          <w:ilvl w:val="0"/>
          <w:numId w:val="2"/>
        </w:numPr>
        <w:spacing w:after="70" w:line="270"/>
      </w:pPr>
      <w:r>
        <w:rPr>
          <w:b/>
          <w:bCs/>
        </w:rPr>
        <w:t xml:space="preserve">Bottom timeline. </w:t>
      </w:r>
      <w:r>
        <w:t xml:space="preserve">Appears in Animate mode; tracks per layer with keyframe diamonds and a scrubber.</w:t>
      </w:r>
    </w:p>
    <w:p>
      <w:pPr>
        <w:pStyle w:val="Heading2"/>
      </w:pPr>
      <w:r>
        <w:t xml:space="preserve">13.3 Key interaction principles</w:t>
      </w:r>
    </w:p>
    <w:p>
      <w:pPr>
        <w:pStyle w:val="ListParagraph"/>
        <w:numPr>
          <w:ilvl w:val="0"/>
          <w:numId w:val="2"/>
        </w:numPr>
        <w:spacing w:after="70" w:line="270"/>
      </w:pPr>
      <w:r>
        <w:rPr>
          <w:b/>
          <w:bCs/>
        </w:rPr>
        <w:t xml:space="preserve">Design / Animate toggle. </w:t>
      </w:r>
      <w:r>
        <w:t xml:space="preserve">The Canva↔After Effects synthesis in one control. Design mode hides the timeline and feels like Canva; Animate mode reveals timeline + keyframes for depth.</w:t>
      </w:r>
    </w:p>
    <w:p>
      <w:pPr>
        <w:pStyle w:val="ListParagraph"/>
        <w:numPr>
          <w:ilvl w:val="0"/>
          <w:numId w:val="2"/>
        </w:numPr>
        <w:spacing w:after="70" w:line="270"/>
      </w:pPr>
      <w:r>
        <w:rPr>
          <w:b/>
          <w:bCs/>
        </w:rPr>
        <w:t xml:space="preserve">Contextual AI. </w:t>
      </w:r>
      <w:r>
        <w:t xml:space="preserve">AI actions are scoped to the selected layer (background → ‘replace background’; text → ‘copy variants’). Locked layers grey their AI actions out — the UI teaches the locking model.</w:t>
      </w:r>
    </w:p>
    <w:p>
      <w:pPr>
        <w:pStyle w:val="ListParagraph"/>
        <w:numPr>
          <w:ilvl w:val="0"/>
          <w:numId w:val="2"/>
        </w:numPr>
        <w:spacing w:after="70" w:line="270"/>
      </w:pPr>
      <w:r>
        <w:rPr>
          <w:b/>
          <w:bCs/>
        </w:rPr>
        <w:t xml:space="preserve">Fast organisation. </w:t>
      </w:r>
      <w:r>
        <w:t xml:space="preserve">Projects → brand workspaces → templates → variations, with search and filter at each level; the same scene resizes across formats from one switcher.</w:t>
      </w:r>
    </w:p>
    <w:p>
      <w:pPr>
        <w:pStyle w:val="ListParagraph"/>
        <w:numPr>
          <w:ilvl w:val="0"/>
          <w:numId w:val="2"/>
        </w:numPr>
        <w:spacing w:after="70" w:line="270"/>
      </w:pPr>
      <w:r>
        <w:rPr>
          <w:b/>
          <w:bCs/>
        </w:rPr>
        <w:t xml:space="preserve">Account &amp; governance surfaces. </w:t>
      </w:r>
      <w:r>
        <w:t xml:space="preserve">Login (SSO), log out, profile, user/role management, and tenant settings live in the top bar and settings rail — present but peripheral so the canvas stays primary.</w:t>
      </w:r>
    </w:p>
    <w:p>
      <w:pPr>
        <w:pStyle w:val="Heading2"/>
      </w:pPr>
      <w:r>
        <w:t xml:space="preserve">13.4 Screens to design</w:t>
      </w:r>
    </w:p>
    <w:p>
      <w:pPr>
        <w:spacing w:after="140" w:line="276"/>
      </w:pPr>
      <w:r>
        <w:t xml:space="preserve">Beyond the editor, the build needs: a login/SSO screen; a workspace/project dashboard (fast organisation, search, recent); the variation studio (mark variable layers, generate batch); the batch review-and-approve grid; the template constraint/lock editor; user &amp; role management; tenant settings; and account/profile. Each is named here so the prompt sequence in section 14 can target them individually.</w:t>
      </w:r>
    </w:p>
    <w:p>
      <w:r>
        <w:br w:type="page"/>
      </w:r>
    </w:p>
    <w:p>
      <w:pPr>
        <w:pStyle w:val="Heading1"/>
      </w:pPr>
      <w:r>
        <w:t xml:space="preserve">14. Claude Code prompt sequence (Opus 4.8)</w:t>
      </w:r>
    </w:p>
    <w:p>
      <w:pPr>
        <w:spacing w:after="140" w:line="276"/>
      </w:pPr>
      <w:r>
        <w:t xml:space="preserve">The exact prompts to drive the build in Claude Code, in order. Each is self-contained and references the relevant section of this document. Run them sequentially; do not skip the Phase 0 spike. Heavy UX/UI focus is intentional — the interface is the product’s differentiator and several prompts target it specifically. Treat each as a starting instruction; iterate within each before moving on.</w:t>
      </w:r>
    </w:p>
    <w:p>
      <w:pPr>
        <w:pStyle w:val="Heading2"/>
      </w:pPr>
      <w:r>
        <w:t xml:space="preserve">Phase 0 — De-risk</w:t>
      </w:r>
    </w:p>
    <w:p>
      <w:pPr>
        <w:spacing w:after="140" w:line="276"/>
      </w:pPr>
      <w:r>
        <w:rPr>
          <w:b/>
          <w:bCs/>
        </w:rPr>
        <w:t xml:space="preserve">Prompt 1 — Authoring spike</w:t>
      </w:r>
    </w:p>
    <w:p>
      <w:pPr>
        <w:spacing w:after="140" w:line="276"/>
      </w:pPr>
      <w:r>
        <w:rPr>
          <w:i/>
          <w:iCs/>
        </w:rPr>
        <w:t xml:space="preserve">“Stand up the CE.SDK headless engine (CreativeEngine) in a Node/TypeScript container. Write a script that creates a scene, adds a text block and an image block, sets two position keyframes on the text block, attaches a slide entrance animation, and saves an editable .scene file. Reopen the saved file and confirm it loads cleanly. Then call findAllProperties() on every animation and blur type the engine exposes and print the full list with their property keys. This establishes ground truth for the mapping agent — do not hardcode property names from memory; read them from the engine.”</w:t>
      </w:r>
    </w:p>
    <w:p>
      <w:pPr>
        <w:spacing w:after="140" w:line="276"/>
      </w:pPr>
      <w:r>
        <w:rPr>
          <w:b/>
          <w:bCs/>
        </w:rPr>
        <w:t xml:space="preserve">Prompt 2 — Mapping agent (per section 12)</w:t>
      </w:r>
    </w:p>
    <w:p>
      <w:pPr>
        <w:spacing w:after="140" w:line="276"/>
      </w:pPr>
      <w:r>
        <w:rPr>
          <w:i/>
          <w:iCs/>
        </w:rPr>
        <w:t xml:space="preserve">“Build the build-time mapping agent. Inputs: the printed findAllProperties() output from Prompt 1, the IMG.LY docs MCP for descriptions, and a house-style rule sheet (create a sensible first-draft rule sheet I can edit — easing defaults, stagger timing, duration ranges, never-do rules). The agent classifies each existing CE.SDK animation/blur type against a set of creative intents (energetic entrance, subtle emphasis, hard cut, smooth transition, motion-blur whoosh, attention loop, exit) and emits intent_primitive_map.json: each entry has intent, the real animation type id, starter parameters, and a confidence/needs-review flag. Validate every emitted type and property key against the engine’s findAllProperties() output and fail the build on any mismatch. Add a golden-set test of a dozen briefs with expected primitive choices.”</w:t>
      </w:r>
    </w:p>
    <w:p>
      <w:pPr>
        <w:pStyle w:val="Heading2"/>
      </w:pPr>
      <w:r>
        <w:t xml:space="preserve">Phase 1 — MCP server &amp; agents</w:t>
      </w:r>
    </w:p>
    <w:p>
      <w:pPr>
        <w:spacing w:after="140" w:line="276"/>
      </w:pPr>
      <w:r>
        <w:rPr>
          <w:b/>
          <w:bCs/>
        </w:rPr>
        <w:t xml:space="preserve">Prompt 3 — Scene-authoring MCP server (per section 4.3)</w:t>
      </w:r>
    </w:p>
    <w:p>
      <w:pPr>
        <w:spacing w:after="140" w:line="276"/>
      </w:pPr>
      <w:r>
        <w:rPr>
          <w:i/>
          <w:iCs/>
        </w:rPr>
        <w:t xml:space="preserve">“Build the scene-authoring MCP server in Node/TypeScript over Streamable HTTP. Implement these tools, each Zod-typed: create_scene, create_block, set_properties, set_keyframe, add_animation, apply_brand_kit, apply_lock_manifest, generate_asset, save_scene, render_variant. Every tool takes a tenant_id resolved server-side from a scoped token, never trusted from the argument. Wrap the CE.SDK engine from Prompt 1. Do not implement any destructive operation (delete, publish, permission change). Provide a local stdio dev harness and an HTTP entrypoint.”</w:t>
      </w:r>
    </w:p>
    <w:p>
      <w:pPr>
        <w:spacing w:after="140" w:line="276"/>
      </w:pPr>
      <w:r>
        <w:rPr>
          <w:b/>
          <w:bCs/>
        </w:rPr>
        <w:t xml:space="preserve">Prompt 4 — Orchestration agents (per section 4.2)</w:t>
      </w:r>
    </w:p>
    <w:p>
      <w:pPr>
        <w:spacing w:after="140" w:line="276"/>
      </w:pPr>
      <w:r>
        <w:rPr>
          <w:i/>
          <w:iCs/>
        </w:rPr>
        <w:t xml:space="preserve">“Using the OpenAI Agents SDK in Python, implement three agents with handoffs: a planner agent that turns a brief plus advanced-mode constraints into a structured animation plan (referencing intent_primitive_map.json), an authoring agent that executes the plan by calling the MCP tools over Streamable HTTP (MCPServerStreamableHttp) and produces a .scene file, and a variation agent that fans an approved master across size/duration/copy/background axes. Put input moderation in the SDK guardrails layer. Add tracing.”</w:t>
      </w:r>
    </w:p>
    <w:p>
      <w:pPr>
        <w:spacing w:after="140" w:line="276"/>
      </w:pPr>
      <w:r>
        <w:rPr>
          <w:b/>
          <w:bCs/>
        </w:rPr>
        <w:t xml:space="preserve">Prompt 5 — Generation + safety pipeline (per section 7)</w:t>
      </w:r>
    </w:p>
    <w:p>
      <w:pPr>
        <w:spacing w:after="140" w:line="276"/>
      </w:pPr>
      <w:r>
        <w:rPr>
          <w:i/>
          <w:iCs/>
        </w:rPr>
        <w:t xml:space="preserve">“Implement generate_asset as a four-checkpoint pipeline: input moderation (before the OpenAI call), the OpenAI generation call (copy/image/background, constrained by tone, character caps, and negative keywords), asset moderation (after), and brand/legal checks (palette, claims, safe zones). Return generated media as a fill on a block, never baked. Write an immutable audit record at every checkpoint. The OpenAI key is held only by the server via Secret Manager and never returned in a tool result.”</w:t>
      </w:r>
    </w:p>
    <w:p>
      <w:pPr>
        <w:pStyle w:val="Heading2"/>
      </w:pPr>
      <w:r>
        <w:t xml:space="preserve">Phase 2 — Locks &amp; variation</w:t>
      </w:r>
    </w:p>
    <w:p>
      <w:pPr>
        <w:spacing w:after="140" w:line="276"/>
      </w:pPr>
      <w:r>
        <w:rPr>
          <w:b/>
          <w:bCs/>
        </w:rPr>
        <w:t xml:space="preserve">Prompt 6 — Lock enforcement (per section 3.4)</w:t>
      </w:r>
    </w:p>
    <w:p>
      <w:pPr>
        <w:spacing w:after="140" w:line="276"/>
      </w:pPr>
      <w:r>
        <w:rPr>
          <w:i/>
          <w:iCs/>
        </w:rPr>
        <w:t xml:space="preserve">“Implement the lock manifest. apply_lock_manifest loads a template’s frozen-property set into the job. set_properties and set_keyframe must hard-reject any write to a frozen property and write the rejection to the audit log. Add a test proving a request to move a locked logo or change a locked brand colour is refused at the tool layer, not by model behaviour.”</w:t>
      </w:r>
    </w:p>
    <w:p>
      <w:pPr>
        <w:spacing w:after="140" w:line="276"/>
      </w:pPr>
      <w:r>
        <w:rPr>
          <w:b/>
          <w:bCs/>
        </w:rPr>
        <w:t xml:space="preserve">Prompt 7 — Variation engine (per section 3.2)</w:t>
      </w:r>
    </w:p>
    <w:p>
      <w:pPr>
        <w:spacing w:after="140" w:line="276"/>
      </w:pPr>
      <w:r>
        <w:rPr>
          <w:i/>
          <w:iCs/>
        </w:rPr>
        <w:t xml:space="preserve">“Build the variation engine with per-layer states (AI-variable, fixed, brand-locked). Enforce generate-once / render-many: generate variable content once per unique combination, then render every size and duration from it via render_variant → Cloud Tasks → a Cloud Run Job. Surface an estimated cost and time before a batch runs.”</w:t>
      </w:r>
    </w:p>
    <w:p>
      <w:pPr>
        <w:spacing w:after="140" w:line="276"/>
      </w:pPr>
      <w:r>
        <w:rPr>
          <w:b/>
          <w:bCs/>
        </w:rPr>
        <w:t xml:space="preserve">Prompt 7a — MotionEngine interface + CE.SDK Tier 1 (per section 4A)</w:t>
      </w:r>
    </w:p>
    <w:p>
      <w:pPr>
        <w:spacing w:after="140" w:line="276"/>
      </w:pPr>
      <w:r>
        <w:rPr>
          <w:i/>
          <w:iCs/>
        </w:rPr>
        <w:t xml:space="preserve">“Implement the engine-agnostic MotionEngine interface (applyIntent, stagger, setTiming, sequence, capabilities, render) and ONE implementation: CesdkMotionEngine, backed by CE.SDK preset-composition. CE.SDK is preset-based, not a keyframe system — do NOT build a keyframe or custom-bezier tool; it does not exist in the engine. The MCP motion tools, planner, and authoring agent must talk only to the MotionEngine interface, never to CE.SDK directly. capabilities() reports CE.SDK’s real limits (four easings, no keyframe tracks, no custom bezier, no group animation, no transition primitive). Every motion result is labeled native (one preset) or composed (presets combined to approximate an intent). When a requested intent exceeds capabilities(), return a ‘Tier 2 candidate’ signal and increment a trigger metric — never silently approximate without labeling. Do NOT implement the Remotion engine; leave the interface ready for it. See docs/MOTION_ENGINE.md.”</w:t>
      </w:r>
    </w:p>
    <w:p>
      <w:pPr>
        <w:spacing w:after="140" w:line="276"/>
      </w:pPr>
      <w:r>
        <w:rPr>
          <w:b/>
          <w:bCs/>
        </w:rPr>
        <w:t xml:space="preserve">Prompt 7b — Two generation modes (per section 4B)</w:t>
      </w:r>
    </w:p>
    <w:p>
      <w:pPr>
        <w:spacing w:after="140" w:line="276"/>
      </w:pPr>
      <w:r>
        <w:rPr>
          <w:i/>
          <w:iCs/>
        </w:rPr>
        <w:t xml:space="preserve">“Implement the two generation modes as configuration over the same agent and safety pipeline, not separate code paths. Compose mode: from a prompt alone, the planner invents layout, layers, motion, and timing and the authoring agent builds the full scene, bound only by the brand kit and any tenant-level locks. Constrained mode: given a master, its lock manifest, and a spec, the agent generates only the unlocked slots and cannot alter anything locked. Prove with a test that the same master in constrained mode never changes a locked property, while in compose mode the agent has full structural latitude within the brand kit.”</w:t>
      </w:r>
    </w:p>
    <w:p>
      <w:pPr>
        <w:pStyle w:val="Heading2"/>
      </w:pPr>
      <w:r>
        <w:t xml:space="preserve">Phase 3 — UX / UI (the differentiator)</w:t>
      </w:r>
    </w:p>
    <w:p>
      <w:pPr>
        <w:spacing w:after="140" w:line="276"/>
      </w:pPr>
      <w:r>
        <w:rPr>
          <w:b/>
          <w:bCs/>
        </w:rPr>
        <w:t xml:space="preserve">Prompt 8 — Design system &amp; shell (per section 13)</w:t>
      </w:r>
    </w:p>
    <w:p>
      <w:pPr>
        <w:spacing w:after="140" w:line="276"/>
      </w:pPr>
      <w:r>
        <w:rPr>
          <w:i/>
          <w:iCs/>
        </w:rPr>
        <w:t xml:space="preserve">“Create the front-end design system and app shell for DEPT Canvas: a clean Canva×After Effects hybrid. Define tokens (type scale, spacing, color, radius), then build the app shell — top bar (project breadcrumb, save state, collaborators, preview, export, account avatar), a left icon rail (layers, assets, brand, text, shapes, settings), a center canvas region, a right contextual panel, and a collapsible bottom timeline. Sentence case throughout, two font weights, flat surfaces. Make it feel native and uncluttered with the canvas as the focus.”</w:t>
      </w:r>
    </w:p>
    <w:p>
      <w:pPr>
        <w:spacing w:after="140" w:line="276"/>
      </w:pPr>
      <w:r>
        <w:rPr>
          <w:b/>
          <w:bCs/>
        </w:rPr>
        <w:t xml:space="preserve">Prompt 9 — The editor: Design/Animate progressive disclosure</w:t>
      </w:r>
    </w:p>
    <w:p>
      <w:pPr>
        <w:spacing w:after="140" w:line="276"/>
      </w:pPr>
      <w:r>
        <w:rPr>
          <w:i/>
          <w:iCs/>
        </w:rPr>
        <w:t xml:space="preserve">“Build the editor screen. Implement the Design/Animate toggle as the core interaction: Design mode hides the timeline and behaves like Canva (place, type, drag, format switch across 1:1, 9:16, 16:9, 4:5); Animate mode reveals a per-layer timeline with keyframe diamonds, a scrubber, and easing/duration controls. The layers panel shows lock badges. Wire layer selection to update the right panel. This progressive disclosure is the heart of the UX — a beginner never sees a keyframe; a motion designer is one click from full depth.”</w:t>
      </w:r>
    </w:p>
    <w:p>
      <w:pPr>
        <w:spacing w:after="140" w:line="276"/>
      </w:pPr>
      <w:r>
        <w:rPr>
          <w:b/>
          <w:bCs/>
        </w:rPr>
        <w:t xml:space="preserve">Prompt 10 — Contextual AI panel</w:t>
      </w:r>
    </w:p>
    <w:p>
      <w:pPr>
        <w:spacing w:after="140" w:line="276"/>
      </w:pPr>
      <w:r>
        <w:rPr>
          <w:i/>
          <w:iCs/>
        </w:rPr>
        <w:t xml:space="preserve">“Build the right-hand AI assist panel so its actions are contextual to the selected layer: a background layer offers ‘replace background’, a text layer offers ‘copy variants’, an image offers ‘cut out subject’ and ‘animate to video’. Locked layers grey their AI actions out with a lock indicator. Include the simple/advanced generation control modes from section 3.3 — simple is prompt + tone; advanced adds contextual guidance, character caps, negative keywords, and reference/style pins. Below AI actions, show the selected layer’s properties.”</w:t>
      </w:r>
    </w:p>
    <w:p>
      <w:pPr>
        <w:spacing w:after="140" w:line="276"/>
      </w:pPr>
      <w:r>
        <w:rPr>
          <w:b/>
          <w:bCs/>
        </w:rPr>
        <w:t xml:space="preserve">Prompt 11 — Variation studio &amp; batch review</w:t>
      </w:r>
    </w:p>
    <w:p>
      <w:pPr>
        <w:spacing w:after="140" w:line="276"/>
      </w:pPr>
      <w:r>
        <w:rPr>
          <w:i/>
          <w:iCs/>
        </w:rPr>
        <w:t xml:space="preserve">“Build two screens. First, the variation studio: tap layers to mark them AI-variable, fixed, or locked; set the size/duration/copy/background axes; show the resulting variation count and an estimated cost/time; a generate-batch action. Second, the batch review grid: a grid of generated variations with done/rendering/queued states, spot-check, approve-all, reject-individual, and a push-to-delivery action gated behind approval.”</w:t>
      </w:r>
    </w:p>
    <w:p>
      <w:pPr>
        <w:spacing w:after="140" w:line="276"/>
      </w:pPr>
      <w:r>
        <w:rPr>
          <w:b/>
          <w:bCs/>
        </w:rPr>
        <w:t xml:space="preserve">Prompt 12 — Workspace dashboard &amp; fast organisation</w:t>
      </w:r>
    </w:p>
    <w:p>
      <w:pPr>
        <w:spacing w:after="140" w:line="276"/>
      </w:pPr>
      <w:r>
        <w:rPr>
          <w:i/>
          <w:iCs/>
        </w:rPr>
        <w:t xml:space="preserve">“Build the workspace dashboard: projects organised by brand workspace, with recent items, search, and filters. Show templates and their variations. Optimise for fast organisation and retrieval — a creative should reach any master or variation in a couple of clicks.”</w:t>
      </w:r>
    </w:p>
    <w:p>
      <w:pPr>
        <w:spacing w:after="140" w:line="276"/>
      </w:pPr>
      <w:r>
        <w:rPr>
          <w:b/>
          <w:bCs/>
        </w:rPr>
        <w:t xml:space="preserve">Prompt 13 — Auth, account, users &amp; permissions (per sections 5 &amp; 13.4)</w:t>
      </w:r>
    </w:p>
    <w:p>
      <w:pPr>
        <w:spacing w:after="140" w:line="276"/>
      </w:pPr>
      <w:r>
        <w:rPr>
          <w:i/>
          <w:iCs/>
        </w:rPr>
        <w:t xml:space="preserve">“Build the account and governance screens: an SSO login screen (SAML/OIDC, no password storage) and log-out flow; a profile/account screen; a user &amp; role management screen implementing the RBAC roles (viewer, creator, brand owner, approver, tenant admin); and a tenant settings screen. Authorisation is evaluated server-side on every request; the UI reflects but never enforces permissions.”</w:t>
      </w:r>
    </w:p>
    <w:p>
      <w:pPr>
        <w:pStyle w:val="Heading2"/>
      </w:pPr>
      <w:r>
        <w:t xml:space="preserve">Phase 4 — Enterprise hardening</w:t>
      </w:r>
    </w:p>
    <w:p>
      <w:pPr>
        <w:spacing w:after="140" w:line="276"/>
      </w:pPr>
      <w:r>
        <w:rPr>
          <w:b/>
          <w:bCs/>
        </w:rPr>
        <w:t xml:space="preserve">Prompt 14 — Tenancy &amp; GCP (per sections 6 &amp; 8)</w:t>
      </w:r>
    </w:p>
    <w:p>
      <w:pPr>
        <w:spacing w:after="140" w:line="276"/>
      </w:pPr>
      <w:r>
        <w:rPr>
          <w:i/>
          <w:iCs/>
        </w:rPr>
        <w:t xml:space="preserve">“Implement per-tenant isolation and the GCP footprint. Write a Terraform tenant module that provisions, per client, a dedicated database, a dedicated Cloud Storage bucket, a KMS key (CMEK-capable), and a Cloud Run service for the MCP server (min-instances ≥ 1). Add the shared control plane: edge API with TLS, session-token validation, and tenant routing; Cloud Tasks queue; Cloud Run Jobs for the renderer (with a documented GKE escalation path). The MCP server is not internet-exposed; egress is restricted to the OpenAI API and the tenant’s own bucket. All secrets in Secret Manager.”</w:t>
      </w:r>
    </w:p>
    <w:p>
      <w:pPr>
        <w:spacing w:after="140" w:line="276"/>
      </w:pPr>
      <w:r>
        <w:rPr>
          <w:b/>
          <w:bCs/>
        </w:rPr>
        <w:t xml:space="preserve">Prompt 15 — Audit, observability &amp; residency</w:t>
      </w:r>
    </w:p>
    <w:p>
      <w:pPr>
        <w:spacing w:after="140" w:line="276"/>
      </w:pPr>
      <w:r>
        <w:rPr>
          <w:i/>
          <w:iCs/>
        </w:rPr>
        <w:t xml:space="preserve">“Wire an immutable audit sink capturing tenant, identity, tool, redacted arguments, lock decisions, and outcome for every step. Add Cloud Logging/Monitoring/Trace plus Agents SDK tracing. Make data residency a per-tenant setting that pins that tenant’s region for Cloud Run, database, and bucket.”</w:t>
      </w:r>
    </w:p>
    <w:p>
      <w:pPr>
        <w:pStyle w:val="Heading2"/>
      </w:pPr>
      <w:r>
        <w:t xml:space="preserve">Deferred — build only when the Tier 2 trigger fires</w:t>
      </w:r>
    </w:p>
    <w:p>
      <w:pPr>
        <w:spacing w:after="140" w:line="276"/>
      </w:pPr>
      <w:r>
        <w:rPr>
          <w:b/>
          <w:bCs/>
        </w:rPr>
        <w:t xml:space="preserve">Prompt 16 (DEFERRED) — Remotion craft engine (per MOTION_ENGINE.md)</w:t>
      </w:r>
    </w:p>
    <w:p>
      <w:pPr>
        <w:spacing w:after="140" w:line="276"/>
      </w:pPr>
      <w:r>
        <w:rPr>
          <w:i/>
          <w:iCs/>
        </w:rPr>
        <w:t xml:space="preserve">“Do not run this until the Tier 2 candidate rate clears the threshold in docs/MOTION_ENGINE.md or a marquee client requires bespoke motion. Implement RemotionMotionEngine as a second backend of the existing MotionEngine interface — do not modify the interface or the CE.SDK Tier 1 path. Author motion as React using Remotion’s interpolate(), Easing.bezier(), and spring(); capabilities() reports full keyframe + custom-bezier support. Render via Remotion on GCP Cloud Run inside the tenant’s isolated compute; pass sensitive data only via render-time inputProps, never hardcoded. Acquire a Remotion Company License and account for the per-render fee in the cost model. Route only Tier 2 (craft) projects to this engine; scale work stays on CE.SDK.”</w:t>
      </w:r>
    </w:p>
    <w:p>
      <w:pPr>
        <w:spacing w:after="140" w:line="276"/>
      </w:pPr>
      <w:r>
        <w:rPr>
          <w:i/>
          <w:iCs/>
          <w:color w:val="5F5E5A"/>
          <w:sz w:val="18"/>
          <w:szCs w:val="18"/>
        </w:rPr>
        <w:t xml:space="preserve">Verification reminder for the build: re-check the OpenAI Agents SDK guardrail APIs, the MCP Streamable HTTP transport config, and CE.SDK property coverage against current docs as you go — these move quickly, and the spike in Prompt 1 is what grounds the rest. CE.SDK is preset-based, not keyframe-based — confirmed; do not build keyframe tooling on it.</w:t>
      </w:r>
    </w:p>
    <w:p>
      <w:pPr>
        <w:pStyle w:val="Heading1"/>
      </w:pPr>
      <w:r>
        <w:t xml:space="preserve">15.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Component</w:t>
            </w:r>
          </w:p>
        </w:tc>
        <w:tc>
          <w:tcPr>
            <w:tcW w:type="dxa" w:w="2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Provider</w:t>
            </w:r>
          </w:p>
        </w:tc>
        <w:tc>
          <w:tcPr>
            <w:tcW w:type="dxa" w:w="39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r>
              <w:rPr>
                <w:b/>
                <w:bCs/>
                <w:color w:val="FFFFFF"/>
                <w:sz w:val="19"/>
                <w:szCs w:val="19"/>
              </w:rPr>
              <w:t xml:space="preserve">Role</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CE.SDK + headless engine</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IMG.LY</w:t>
            </w:r>
          </w:p>
        </w:tc>
        <w:tc>
          <w:tcPr>
            <w:tcW w:type="dxa" w:w="3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Editor, renderer, scene/block API</w:t>
            </w:r>
          </w:p>
        </w:tc>
      </w:tr>
      <w:tr>
        <w:tc>
          <w:tcPr>
            <w:tcW w:type="dxa" w:w="3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Agents SDK</w:t>
            </w:r>
          </w:p>
        </w:tc>
        <w:tc>
          <w:tcPr>
            <w:tcW w:type="dxa" w:w="2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OpenAI</w:t>
            </w:r>
          </w:p>
        </w:tc>
        <w:tc>
          <w:tcPr>
            <w:tcW w:type="dxa" w:w="3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Multi-agent orchestration, guardrails, tracing</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Generation models</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OpenAI</w:t>
            </w:r>
          </w:p>
        </w:tc>
        <w:tc>
          <w:tcPr>
            <w:tcW w:type="dxa" w:w="3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Copy, image, background generation</w:t>
            </w:r>
          </w:p>
        </w:tc>
      </w:tr>
      <w:tr>
        <w:tc>
          <w:tcPr>
            <w:tcW w:type="dxa" w:w="3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Scene-authoring MCP server</w:t>
            </w:r>
          </w:p>
        </w:tc>
        <w:tc>
          <w:tcPr>
            <w:tcW w:type="dxa" w:w="220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DEPT-built</w:t>
            </w:r>
          </w:p>
        </w:tc>
        <w:tc>
          <w:tcPr>
            <w:tcW w:type="dxa" w:w="3960"/>
            <w:tcBorders>
              <w:top w:val="single" w:color="D3D1C7" w:sz="1"/>
              <w:left w:val="single" w:color="D3D1C7" w:sz="1"/>
              <w:bottom w:val="single" w:color="D3D1C7" w:sz="1"/>
              <w:right w:val="single" w:color="D3D1C7" w:sz="1"/>
            </w:tcBorders>
            <w:shd w:fill="F7F6F2" w:val="clear"/>
            <w:tcMar>
              <w:top w:type="dxa" w:w="80"/>
              <w:left w:type="dxa" w:w="120"/>
              <w:bottom w:type="dxa" w:w="80"/>
              <w:right w:type="dxa" w:w="120"/>
            </w:tcMar>
          </w:tcPr>
          <w:p>
            <w:r>
              <w:rPr>
                <w:b w:val="false"/>
                <w:bCs w:val="false"/>
                <w:sz w:val="19"/>
                <w:szCs w:val="19"/>
              </w:rPr>
              <w:t xml:space="preserve">Exposes engine API as agent tools</w:t>
            </w:r>
          </w:p>
        </w:tc>
      </w:tr>
      <w:tr>
        <w:tc>
          <w:tcPr>
            <w:tcW w:type="dxa" w:w="3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GCP</w:t>
            </w:r>
          </w:p>
        </w:tc>
        <w:tc>
          <w:tcPr>
            <w:tcW w:type="dxa" w:w="220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Google</w:t>
            </w:r>
          </w:p>
        </w:tc>
        <w:tc>
          <w:tcPr>
            <w:tcW w:type="dxa" w:w="3960"/>
            <w:tcBorders>
              <w:top w:val="single" w:color="D3D1C7" w:sz="1"/>
              <w:left w:val="single" w:color="D3D1C7" w:sz="1"/>
              <w:bottom w:val="single" w:color="D3D1C7" w:sz="1"/>
              <w:right w:val="single" w:color="D3D1C7" w:sz="1"/>
            </w:tcBorders>
            <w:tcMar>
              <w:top w:type="dxa" w:w="80"/>
              <w:left w:type="dxa" w:w="120"/>
              <w:bottom w:type="dxa" w:w="80"/>
              <w:right w:type="dxa" w:w="120"/>
            </w:tcMar>
          </w:tcPr>
          <w:p>
            <w:r>
              <w:rPr>
                <w:b w:val="false"/>
                <w:bCs w:val="false"/>
                <w:sz w:val="19"/>
                <w:szCs w:val="19"/>
              </w:rPr>
              <w:t xml:space="preserve">Hosting, storage, identity, keys, observability</w:t>
            </w:r>
          </w:p>
        </w:tc>
      </w:tr>
    </w:tbl>
    <w:p>
      <w:pPr>
        <w:spacing w:after="140" w:line="276"/>
      </w:pPr>
      <w:r>
        <w:rPr>
          <w:b/>
          <w:bCs/>
        </w:rPr>
        <w:t xml:space="preserve">Licensing note. </w:t>
      </w:r>
      <w:r>
        <w:t xml:space="preserve">CE.SDK AI plugins are included with the SDK licence, but generative model usage is billed separately by the model provider. Confirm current terms and any partner rates before finalising the cost model.</w:t>
      </w:r>
    </w:p>
    <w:p>
      <w:pPr>
        <w:spacing w:after="140" w:line="276"/>
      </w:pPr>
      <w:r>
        <w:rPr>
          <w:i/>
          <w:iCs/>
          <w:color w:val="5F5E5A"/>
          <w:sz w:val="18"/>
          <w:szCs w:val="18"/>
        </w:rPr>
        <w:t xml:space="preserve">Verification note: SDK, MCP transport, and GCP service details were checked against current documentation at time of writing, but these move quickly. Re-verify transport config, Agents SDK guardrail APIs, and CE.SDK property coverage when the build opens.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Confidential — internal • 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5E5A"/>
        <w:sz w:val="16"/>
        <w:szCs w:val="16"/>
      </w:rPr>
      <w:t xml:space="preserve">DEPT Canvas — Architecture &amp; Engineering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26215C"/>
      <w:sz w:val="60"/>
      <w:szCs w:val="60"/>
    </w:rPr>
  </w:style>
  <w:style w:type="paragraph" w:styleId="Heading1">
    <w:name w:val="Heading 1"/>
    <w:basedOn w:val="Normal"/>
    <w:next w:val="Normal"/>
    <w:qFormat/>
    <w:pPr>
      <w:spacing w:after="160" w:before="340"/>
      <w:outlineLvl w:val="0"/>
    </w:pPr>
    <w:rPr>
      <w:rFonts w:ascii="Arial" w:cs="Arial" w:eastAsia="Arial" w:hAnsi="Arial"/>
      <w:b/>
      <w:bCs/>
      <w:color w:val="534AB7"/>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26215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DEPT Canvas — Complete Architecture &amp; Engineering Spec</dc:title>
  <dc:creator>DEPT</dc:creator>
  <cp:lastModifiedBy>Un-named</cp:lastModifiedBy>
  <cp:revision>1</cp:revision>
  <dcterms:created xsi:type="dcterms:W3CDTF">2026-06-21T22:31:59.286Z</dcterms:created>
  <dcterms:modified xsi:type="dcterms:W3CDTF">2026-06-21T22:31:59.299Z</dcterms:modified>
</cp:coreProperties>
</file>

<file path=docProps/custom.xml><?xml version="1.0" encoding="utf-8"?>
<Properties xmlns="http://schemas.openxmlformats.org/officeDocument/2006/custom-properties" xmlns:vt="http://schemas.openxmlformats.org/officeDocument/2006/docPropsVTypes"/>
</file>