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Diseño de solución con LLM y RAG para atención primaria municipal</w:t>
      </w:r>
    </w:p>
    <w:p>
      <w:pPr>
        <w:jc w:val="center"/>
      </w:pPr>
      <w:r>
        <w:rPr>
          <w:rFonts w:ascii="Aptos" w:hAnsi="Aptos"/>
          <w:sz w:val="28"/>
        </w:rPr>
        <w:t>Informe técnico de propuesta e implementación</w:t>
      </w:r>
    </w:p>
    <w:tbl>
      <w:tblPr>
        <w:tblW w:type="auto" w:w="0"/>
        <w:tblLayout w:type="autofit"/>
        <w:tblLook w:firstColumn="1" w:firstRow="1" w:lastColumn="0" w:lastRow="0" w:noHBand="0" w:noVBand="1" w:val="04A0"/>
      </w:tblPr>
      <w:tblGrid>
        <w:gridCol w:w="4759"/>
        <w:gridCol w:w="4759"/>
      </w:tblGrid>
      <w:tr>
        <w:tc>
          <w:tcPr>
            <w:tcW w:type="dxa" w:w="47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Caso</w:t>
            </w:r>
          </w:p>
        </w:tc>
        <w:tc>
          <w:tcPr>
            <w:tcW w:type="dxa" w:w="47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Asistente RAG para la Dirección de Salud Municipal de Santa Isabel</w:t>
            </w:r>
          </w:p>
        </w:tc>
      </w:tr>
      <w:tr>
        <w:tc>
          <w:tcPr>
            <w:tcW w:type="dxa" w:w="47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Asignatura</w:t>
            </w:r>
          </w:p>
        </w:tc>
        <w:tc>
          <w:tcPr>
            <w:tcW w:type="dxa" w:w="47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Desarrollo de Agentes Inteligentes con LLM</w:t>
            </w:r>
          </w:p>
        </w:tc>
      </w:tr>
      <w:tr>
        <w:tc>
          <w:tcPr>
            <w:tcW w:type="dxa" w:w="47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Integrantes</w:t>
            </w:r>
          </w:p>
        </w:tc>
        <w:tc>
          <w:tcPr>
            <w:tcW w:type="dxa" w:w="47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Completar con nombres del equipo</w:t>
            </w:r>
          </w:p>
        </w:tc>
      </w:tr>
      <w:tr>
        <w:tc>
          <w:tcPr>
            <w:tcW w:type="dxa" w:w="47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Fecha</w:t>
            </w:r>
          </w:p>
        </w:tc>
        <w:tc>
          <w:tcPr>
            <w:tcW w:type="dxa" w:w="47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Septiembre de 2026</w:t>
            </w:r>
          </w:p>
        </w:tc>
      </w:tr>
      <w:tr>
        <w:tc>
          <w:tcPr>
            <w:tcW w:type="dxa" w:w="47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Producto</w:t>
            </w:r>
          </w:p>
        </w:tc>
        <w:tc>
          <w:tcPr>
            <w:tcW w:type="dxa" w:w="47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Informe técnico, repositorio de código y presentación de defensa</w:t>
            </w:r>
          </w:p>
        </w:tc>
      </w:tr>
    </w:tbl>
    <w:p/>
    <w:p>
      <w:pPr>
        <w:pStyle w:val="BodyText"/>
      </w:pPr>
      <w:r>
        <w:t>Este documento presenta un caso organizacional contextualizado y una solución técnica basada en LLM, agentes inteligentes y recuperación aumentada de información. El diseño prioriza trazabilidad, seguridad, control de datos sensibles y utilidad operativa para funcionarios de atención primaria.</w:t>
      </w:r>
    </w:p>
    <w:p>
      <w:r>
        <w:br w:type="page"/>
      </w:r>
    </w:p>
    <w:p>
      <w:pPr>
        <w:pStyle w:val="Heading1"/>
      </w:pPr>
      <w:r>
        <w:rPr>
          <w:rFonts w:ascii="Aptos Display" w:hAnsi="Aptos Display"/>
          <w:color w:val="000000"/>
        </w:rPr>
        <w:t>Resumen ejecutivo</w:t>
      </w:r>
    </w:p>
    <w:p>
      <w:pPr>
        <w:pStyle w:val="BodyText"/>
      </w:pPr>
      <w:r>
        <w:t>La Dirección de Salud Municipal de Santa Isabel administra tres CESFAM, un SAPU y una unidad de atención telefónica. Sus funcionarios responden diariamente consultas sobre horas médicas, farmacia, derivaciones, derechos de pacientes y contingencias operativas. La información se encuentra dispersa entre protocolos, circulares internas, planillas y correos, lo que genera respuestas inconsistentes, dependencia de personas expertas y riesgo de orientar al usuario sin respaldo documental.</w:t>
      </w:r>
    </w:p>
    <w:p>
      <w:pPr>
        <w:pStyle w:val="BodyText"/>
      </w:pPr>
      <w:r>
        <w:t>Se propone un asistente interno basado en LLM y RAG. El sistema recupera fragmentos relevantes desde una base documental controlada, construye un contexto citando fuentes y genera una respuesta breve para el funcionario. Además, incorpora guardrails para bloquear urgencias, evitar consejo clínico personalizado, anonimizar datos personales y derivar a responsables humanos cuando la evidencia sea insuficiente.</w:t>
      </w:r>
    </w:p>
    <w:p>
      <w:pPr>
        <w:pStyle w:val="BodyText"/>
      </w:pPr>
      <w:r>
        <w:t>El principal valor del diseño no consiste en automatizar toda la atención, sino en ordenar la información institucional y disminuir variabilidad en consultas administrativas. En salud, la respuesta correcta muchas veces es decir que el asistente no puede resolver la pregunta y debe escalarla. Por ello, la propuesta usa métricas de calidad documental, recuperación, trazabilidad, seguridad y satisfacción funcionaria.</w:t>
      </w:r>
    </w:p>
    <w:p>
      <w:pPr>
        <w:pStyle w:val="Heading1"/>
      </w:pPr>
      <w:r>
        <w:rPr>
          <w:rFonts w:ascii="Aptos Display" w:hAnsi="Aptos Display"/>
          <w:color w:val="000000"/>
        </w:rPr>
        <w:t>Caso organizacional</w:t>
      </w:r>
    </w:p>
    <w:p>
      <w:pPr>
        <w:pStyle w:val="Heading2"/>
      </w:pPr>
      <w:r>
        <w:rPr>
          <w:rFonts w:ascii="Aptos" w:hAnsi="Aptos"/>
          <w:color w:val="000000"/>
        </w:rPr>
        <w:t>Institución contextualizada</w:t>
      </w:r>
    </w:p>
    <w:p>
      <w:pPr>
        <w:pStyle w:val="BodyText"/>
      </w:pPr>
      <w:r>
        <w:t>Santa Isabel es una comuna urbana ficticia de tamaño medio. Su red de atención primaria incluye tres CESFAM, un SAPU y un equipo comunal de atención remota. El caso es contextualizado, pero sus procesos se basan en situaciones habituales de atención primaria municipal: SOME, agenda, farmacia, derivaciones, lista de espera, derechos de pacientes y resguardo de ficha clínica.</w:t>
      </w:r>
    </w:p>
    <w:p>
      <w:pPr>
        <w:pStyle w:val="Heading2"/>
      </w:pPr>
      <w:r>
        <w:rPr>
          <w:rFonts w:ascii="Aptos" w:hAnsi="Aptos"/>
          <w:color w:val="000000"/>
        </w:rPr>
        <w:t>Dolor organizacional</w:t>
      </w:r>
    </w:p>
    <w:p>
      <w:pPr>
        <w:pStyle w:val="ListBullet"/>
      </w:pPr>
      <w:r>
        <w:t>La información operativa se actualiza por múltiples canales y no siempre llega a todos los turnos.</w:t>
      </w:r>
    </w:p>
    <w:p>
      <w:pPr>
        <w:pStyle w:val="ListBullet"/>
      </w:pPr>
      <w:r>
        <w:t>Funcionarios nuevos dependen de colegas expertos para responder consultas frecuentes.</w:t>
      </w:r>
    </w:p>
    <w:p>
      <w:pPr>
        <w:pStyle w:val="ListBullet"/>
      </w:pPr>
      <w:r>
        <w:t>Las respuestas por teléfono, mesón y correo pueden variar aunque traten el mismo procedimiento.</w:t>
      </w:r>
    </w:p>
    <w:p>
      <w:pPr>
        <w:pStyle w:val="ListBullet"/>
      </w:pPr>
      <w:r>
        <w:t>Existe riesgo de solicitar o repetir datos sensibles en espacios no autorizados.</w:t>
      </w:r>
    </w:p>
    <w:p>
      <w:pPr>
        <w:pStyle w:val="ListBullet"/>
      </w:pPr>
      <w:r>
        <w:t>Las consultas clínicas ambiguas pueden recibir orientación administrativa incorrecta si no se escalan.</w:t>
      </w:r>
    </w:p>
    <w:p>
      <w:pPr>
        <w:pStyle w:val="Heading2"/>
      </w:pPr>
      <w:r>
        <w:rPr>
          <w:rFonts w:ascii="Aptos" w:hAnsi="Aptos"/>
          <w:color w:val="000000"/>
        </w:rPr>
        <w:t>Objetivos de intervención</w:t>
      </w:r>
    </w:p>
    <w:p>
      <w:pPr>
        <w:pStyle w:val="ListNumber"/>
      </w:pPr>
      <w:r>
        <w:t>Centralizar conocimiento operativo vigente en una base documental recuperable.</w:t>
      </w:r>
    </w:p>
    <w:p>
      <w:pPr>
        <w:pStyle w:val="ListNumber"/>
      </w:pPr>
      <w:r>
        <w:t>Generar respuestas con citas a fuentes internas para mejorar trazabilidad.</w:t>
      </w:r>
    </w:p>
    <w:p>
      <w:pPr>
        <w:pStyle w:val="ListNumber"/>
      </w:pPr>
      <w:r>
        <w:t>Reducir alucinaciones obligando al LLM a responder solo con contexto recuperado.</w:t>
      </w:r>
    </w:p>
    <w:p>
      <w:pPr>
        <w:pStyle w:val="ListNumber"/>
      </w:pPr>
      <w:r>
        <w:t>Proteger datos personales y ficha clínica mediante anonimización y control de acceso.</w:t>
      </w:r>
    </w:p>
    <w:p>
      <w:pPr>
        <w:pStyle w:val="ListNumber"/>
      </w:pPr>
      <w:r>
        <w:t>Escalar preguntas sin evidencia, con riesgo clínico o con solicitudes de terceros no autorizados.</w:t>
      </w:r>
    </w:p>
    <w:p>
      <w:pPr>
        <w:pStyle w:val="Heading1"/>
      </w:pPr>
      <w:r>
        <w:rPr>
          <w:rFonts w:ascii="Aptos Display" w:hAnsi="Aptos Display"/>
          <w:color w:val="000000"/>
        </w:rPr>
        <w:t>Fuentes de datos</w:t>
      </w:r>
    </w:p>
    <w:p>
      <w:pPr>
        <w:pStyle w:val="BodyText"/>
      </w:pPr>
      <w:r>
        <w:t>La solución no utiliza ficha clínica ni información identificable de pacientes. Se alimenta con documentos operativos aprobados por responsables internos. Cada fuente debe tener dueño, versión, fecha de vigencia, clasificación de sensibilidad y estado de aprobación.</w:t>
      </w:r>
    </w:p>
    <w:tbl>
      <w:tblPr>
        <w:tblW w:type="auto" w:w="0"/>
        <w:tblLayout w:type="autofit"/>
        <w:tblLook w:firstColumn="1" w:firstRow="1" w:lastColumn="0" w:lastRow="0" w:noHBand="0" w:noVBand="1" w:val="04A0"/>
      </w:tblPr>
      <w:tblGrid>
        <w:gridCol w:w="1904"/>
        <w:gridCol w:w="1904"/>
        <w:gridCol w:w="1904"/>
        <w:gridCol w:w="1904"/>
        <w:gridCol w:w="1904"/>
      </w:tblGrid>
      <w:tr>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1F4E5F"/>
          </w:tcPr>
          <w:p>
            <w:pPr>
              <w:spacing w:after="40"/>
            </w:pPr>
            <w:r>
              <w:rPr>
                <w:rFonts w:ascii="Aptos" w:hAnsi="Aptos"/>
                <w:b/>
                <w:color w:val="FFFFFF"/>
                <w:sz w:val="18"/>
              </w:rPr>
              <w:t>Fuente</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1F4E5F"/>
          </w:tcPr>
          <w:p>
            <w:pPr>
              <w:spacing w:after="40"/>
            </w:pPr>
            <w:r>
              <w:rPr>
                <w:rFonts w:ascii="Aptos" w:hAnsi="Aptos"/>
                <w:b/>
                <w:color w:val="FFFFFF"/>
                <w:sz w:val="18"/>
              </w:rPr>
              <w:t>Contenido</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1F4E5F"/>
          </w:tcPr>
          <w:p>
            <w:pPr>
              <w:spacing w:after="40"/>
            </w:pPr>
            <w:r>
              <w:rPr>
                <w:rFonts w:ascii="Aptos" w:hAnsi="Aptos"/>
                <w:b/>
                <w:color w:val="FFFFFF"/>
                <w:sz w:val="18"/>
              </w:rPr>
              <w:t>Responsable</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1F4E5F"/>
          </w:tcPr>
          <w:p>
            <w:pPr>
              <w:spacing w:after="40"/>
            </w:pPr>
            <w:r>
              <w:rPr>
                <w:rFonts w:ascii="Aptos" w:hAnsi="Aptos"/>
                <w:b/>
                <w:color w:val="FFFFFF"/>
                <w:sz w:val="18"/>
              </w:rPr>
              <w:t>Sensibilidad</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1F4E5F"/>
          </w:tcPr>
          <w:p>
            <w:pPr>
              <w:spacing w:after="40"/>
            </w:pPr>
            <w:r>
              <w:rPr>
                <w:rFonts w:ascii="Aptos" w:hAnsi="Aptos"/>
                <w:b/>
                <w:color w:val="FFFFFF"/>
                <w:sz w:val="18"/>
              </w:rPr>
              <w:t>Uso en RAG</w:t>
            </w:r>
          </w:p>
        </w:tc>
      </w:tr>
      <w:tr>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Protocolo de agenda</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Toma y cambio de horas, contingencias</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SOME comunal</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Media</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Orientación administrativa</w:t>
            </w:r>
          </w:p>
        </w:tc>
      </w:tr>
      <w:tr>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Protocolo de farmacia</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Retiro crónico, receta vigente, quiebres</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Químico farmacéutico</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Media</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Respuesta con restricciones</w:t>
            </w:r>
          </w:p>
        </w:tc>
      </w:tr>
      <w:tr>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Derechos de pacientes</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Información, confidencialidad, ficha clínica</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Calidad y OIRS</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Alta</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Reglas y derivación</w:t>
            </w:r>
          </w:p>
        </w:tc>
      </w:tr>
      <w:tr>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Derivaciones</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Estado administrativo y escalamiento</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Lista de espera</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Media</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Consulta de estado</w:t>
            </w:r>
          </w:p>
        </w:tc>
      </w:tr>
      <w:tr>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Continuidad operativa</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Caída de sistemas y auditoría</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TI municipal</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Media</w:t>
            </w:r>
          </w:p>
        </w:tc>
        <w:tc>
          <w:tcPr>
            <w:tcW w:type="dxa" w:w="1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Plan de contingencia</w:t>
            </w:r>
          </w:p>
        </w:tc>
      </w:tr>
    </w:tbl>
    <w:p>
      <w:pPr>
        <w:jc w:val="center"/>
      </w:pPr>
      <w:r>
        <w:rPr>
          <w:i/>
          <w:sz w:val="18"/>
        </w:rPr>
        <w:t>Tabla 1. Fuentes documentales internas consideradas para el caso.</w:t>
      </w:r>
    </w:p>
    <w:p>
      <w:pPr>
        <w:pStyle w:val="Heading1"/>
      </w:pPr>
      <w:r>
        <w:rPr>
          <w:rFonts w:ascii="Aptos Display" w:hAnsi="Aptos Display"/>
          <w:color w:val="000000"/>
        </w:rPr>
        <w:t>Diseño técnico de la solución</w:t>
      </w:r>
    </w:p>
    <w:p>
      <w:pPr>
        <w:pStyle w:val="Heading2"/>
      </w:pPr>
      <w:r>
        <w:rPr>
          <w:rFonts w:ascii="Aptos" w:hAnsi="Aptos"/>
          <w:color w:val="000000"/>
        </w:rPr>
        <w:t>Arquitectura general</w:t>
      </w:r>
    </w:p>
    <w:p>
      <w:pPr>
        <w:pStyle w:val="BodyText"/>
      </w:pPr>
      <w:r>
        <w:t>La arquitectura separa el canal de usuario, los controles de entrada, la recuperación documental, la construcción del contexto, el generador LLM, el verificador de salida y la auditoría. Esta separación permite probar cada componente de forma independiente y evita que el modelo opere como una caja negra.</w:t>
      </w:r>
    </w:p>
    <w:tbl>
      <w:tblPr>
        <w:tblW w:type="auto" w:w="0"/>
        <w:tblLayout w:type="autofit"/>
        <w:tblLook w:firstColumn="1" w:firstRow="1" w:lastColumn="0" w:lastRow="0" w:noHBand="0" w:noVBand="1" w:val="04A0"/>
      </w:tblPr>
      <w:tblGrid>
        <w:gridCol w:w="3173"/>
        <w:gridCol w:w="3173"/>
        <w:gridCol w:w="3173"/>
      </w:tblGrid>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365F3D"/>
          </w:tcPr>
          <w:p>
            <w:pPr>
              <w:spacing w:after="40"/>
            </w:pPr>
            <w:r>
              <w:rPr>
                <w:rFonts w:ascii="Aptos" w:hAnsi="Aptos"/>
                <w:b/>
                <w:color w:val="FFFFFF"/>
                <w:sz w:val="18"/>
              </w:rPr>
              <w:t>Capa</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365F3D"/>
          </w:tcPr>
          <w:p>
            <w:pPr>
              <w:spacing w:after="40"/>
            </w:pPr>
            <w:r>
              <w:rPr>
                <w:rFonts w:ascii="Aptos" w:hAnsi="Aptos"/>
                <w:b/>
                <w:color w:val="FFFFFF"/>
                <w:sz w:val="18"/>
              </w:rPr>
              <w:t>Función</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365F3D"/>
          </w:tcPr>
          <w:p>
            <w:pPr>
              <w:spacing w:after="40"/>
            </w:pPr>
            <w:r>
              <w:rPr>
                <w:rFonts w:ascii="Aptos" w:hAnsi="Aptos"/>
                <w:b/>
                <w:color w:val="FFFFFF"/>
                <w:sz w:val="18"/>
              </w:rPr>
              <w:t>Control principal</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Interfaz</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Chat interno para funcionarios</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Autenticación institucional y rol del usuario</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Guardrail de entrada</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Clasifica intención y anonimiza datos</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Bloqueo de urgencias y datos personales</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Retriever</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Busca chunks relevantes</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Top k, umbral mínimo, documentos vigentes</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Constructor de contexto</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Ordena evidencia y citas</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Separación entre instrucciones y datos</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Generador LLM</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Redacta respuesta operacional</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Temperatura baja y prompt con restricciones</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Verificador</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Revisa respaldo y política de salida</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Derivación si falta evidencia</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Auditoría</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Registra decisión sin datos sensibles</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Trazabilidad y mejora continua</w:t>
            </w:r>
          </w:p>
        </w:tc>
      </w:tr>
    </w:tbl>
    <w:p>
      <w:pPr>
        <w:jc w:val="center"/>
      </w:pPr>
      <w:r>
        <w:rPr>
          <w:i/>
          <w:sz w:val="18"/>
        </w:rPr>
        <w:t>Tabla 2. Componentes de arquitectura y controles asociados.</w:t>
      </w:r>
    </w:p>
    <w:p>
      <w:pPr>
        <w:pStyle w:val="BodyText"/>
      </w:pPr>
      <w:r>
        <w:rPr>
          <w:b/>
        </w:rPr>
        <w:t>Flujo lógico: Funcionario -&gt; chat interno -&gt; guardrail de entrada -&gt; recuperación documental -&gt; contexto citado -&gt; LLM generador -&gt; verificador -&gt; respuesta o escalamiento -&gt; auditoría.</w:t>
      </w:r>
    </w:p>
    <w:p>
      <w:pPr>
        <w:pStyle w:val="Heading2"/>
      </w:pPr>
      <w:r>
        <w:rPr>
          <w:rFonts w:ascii="Aptos" w:hAnsi="Aptos"/>
          <w:color w:val="000000"/>
        </w:rPr>
        <w:t>Pipeline RAG</w:t>
      </w:r>
    </w:p>
    <w:p>
      <w:pPr>
        <w:pStyle w:val="BodyText"/>
      </w:pPr>
      <w:r>
        <w:t>RAG se justifica porque los LLM pueden producir respuestas plausibles pero no necesariamente verificables. La literatura original de RAG plantea combinar memoria paramétrica del modelo con memoria no paramétrica recuperada desde una fuente externa para mejorar especificidad, actualización y factualidad (Lewis et al., 2020). Revisiones posteriores destacan que RAG ayuda frente a alucinación, conocimiento obsoleto y falta de trazabilidad, aunque introduce desafíos de recuperación, evaluación y seguridad (Gao et al., 2024).</w:t>
      </w:r>
    </w:p>
    <w:tbl>
      <w:tblPr>
        <w:tblW w:type="auto" w:w="0"/>
        <w:tblLayout w:type="autofit"/>
        <w:tblLook w:firstColumn="1" w:firstRow="1" w:lastColumn="0" w:lastRow="0" w:noHBand="0" w:noVBand="1" w:val="04A0"/>
      </w:tblPr>
      <w:tblGrid>
        <w:gridCol w:w="2379"/>
        <w:gridCol w:w="2379"/>
        <w:gridCol w:w="2379"/>
        <w:gridCol w:w="2379"/>
      </w:tblGrid>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Etapa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Entrada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Proceso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Salida</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Ingesta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Protocolos internos</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Normalización, metadatos, control de versión</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Documentos aprobados</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Chunking</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Secciones del documento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División semántica por subtítulos</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Fragmentos citables</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Indexación</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Chunks</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BM25 en demo, embeddings en producción</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Índice recuperable</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Recuperación</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Pregunta anonimizada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Top k con umbral mínimo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Evidencia candidata</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Generación</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Pregunta y contexto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Prompt con reglas y citas obligatorias</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Respuesta preliminar</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Verificación</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Respuesta y fuentes</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Chequeo de evidencia, riesgo y política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Respuesta o derivación</w:t>
            </w:r>
          </w:p>
        </w:tc>
      </w:tr>
    </w:tbl>
    <w:p>
      <w:pPr>
        <w:jc w:val="center"/>
      </w:pPr>
      <w:r>
        <w:rPr>
          <w:i/>
          <w:sz w:val="18"/>
        </w:rPr>
        <w:t>Tabla 3. Pipeline RAG propuesto.</w:t>
      </w:r>
    </w:p>
    <w:p>
      <w:pPr>
        <w:pStyle w:val="Heading2"/>
      </w:pPr>
      <w:r>
        <w:rPr>
          <w:rFonts w:ascii="Aptos" w:hAnsi="Aptos"/>
          <w:color w:val="000000"/>
        </w:rPr>
        <w:t>Agentes inteligentes</w:t>
      </w:r>
    </w:p>
    <w:p>
      <w:pPr>
        <w:pStyle w:val="BodyText"/>
      </w:pPr>
      <w:r>
        <w:t>El sistema se modela como una arquitectura multiagente liviana. No se otorga autonomía transaccional al modelo; cada agente cumple una función delimitada y observable. Esta decisión toma la idea de combinar razonamiento y acción de enfoques como ReAct, pero la adapta a un entorno de bajo riesgo operacional: el agente puede recuperar, redactar y escalar, pero no modificar agenda ni ficha clínica por sí mismo (Yao et al., 2023).</w:t>
      </w:r>
    </w:p>
    <w:tbl>
      <w:tblPr>
        <w:tblW w:type="auto" w:w="0"/>
        <w:tblLayout w:type="autofit"/>
        <w:tblLook w:firstColumn="1" w:firstRow="1" w:lastColumn="0" w:lastRow="0" w:noHBand="0" w:noVBand="1" w:val="04A0"/>
      </w:tblPr>
      <w:tblGrid>
        <w:gridCol w:w="2379"/>
        <w:gridCol w:w="2379"/>
        <w:gridCol w:w="2379"/>
        <w:gridCol w:w="2379"/>
      </w:tblGrid>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365F3D"/>
          </w:tcPr>
          <w:p>
            <w:pPr>
              <w:spacing w:after="40"/>
            </w:pPr>
            <w:r>
              <w:rPr>
                <w:rFonts w:ascii="Aptos" w:hAnsi="Aptos"/>
                <w:b/>
                <w:color w:val="FFFFFF"/>
                <w:sz w:val="18"/>
              </w:rPr>
              <w:t>Agente</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365F3D"/>
          </w:tcPr>
          <w:p>
            <w:pPr>
              <w:spacing w:after="40"/>
            </w:pPr>
            <w:r>
              <w:rPr>
                <w:rFonts w:ascii="Aptos" w:hAnsi="Aptos"/>
                <w:b/>
                <w:color w:val="FFFFFF"/>
                <w:sz w:val="18"/>
              </w:rPr>
              <w:t>Responsabilidad</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365F3D"/>
          </w:tcPr>
          <w:p>
            <w:pPr>
              <w:spacing w:after="40"/>
            </w:pPr>
            <w:r>
              <w:rPr>
                <w:rFonts w:ascii="Aptos" w:hAnsi="Aptos"/>
                <w:b/>
                <w:color w:val="FFFFFF"/>
                <w:sz w:val="18"/>
              </w:rPr>
              <w:t>Herramienta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365F3D"/>
          </w:tcPr>
          <w:p>
            <w:pPr>
              <w:spacing w:after="40"/>
            </w:pPr>
            <w:r>
              <w:rPr>
                <w:rFonts w:ascii="Aptos" w:hAnsi="Aptos"/>
                <w:b/>
                <w:color w:val="FFFFFF"/>
                <w:sz w:val="18"/>
              </w:rPr>
              <w:t>Criterio de éxito</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Clasificador</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Identifica intención y riesgo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Reglas y modelo liviano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Ruta correcta de atención</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Recuperador</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Busca evidencia vigente</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BM25 o búsqueda híbrida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Fuente pertinente en top 3</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Redactor</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Construye respuesta citada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LLM con prompt controlado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Respuesta clara y sin invención</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Verificador</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Evalúa salida y política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Reglas de seguridad</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Bloqueo o derivación correcta</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Auditor</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Registra trazabilidad</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Log anonimizado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Registro útil sin datos sensibles</w:t>
            </w:r>
          </w:p>
        </w:tc>
      </w:tr>
    </w:tbl>
    <w:p>
      <w:pPr>
        <w:jc w:val="center"/>
      </w:pPr>
      <w:r>
        <w:rPr>
          <w:i/>
          <w:sz w:val="18"/>
        </w:rPr>
        <w:t>Tabla 4. Agentes propuestos para la solución.</w:t>
      </w:r>
    </w:p>
    <w:p>
      <w:pPr>
        <w:pStyle w:val="Heading2"/>
      </w:pPr>
      <w:r>
        <w:rPr>
          <w:rFonts w:ascii="Aptos" w:hAnsi="Aptos"/>
          <w:color w:val="000000"/>
        </w:rPr>
        <w:t>Gestión del contexto conversacional</w:t>
      </w:r>
    </w:p>
    <w:p>
      <w:pPr>
        <w:pStyle w:val="BodyText"/>
      </w:pPr>
      <w:r>
        <w:t>El contexto conversacional se gestiona con memoria corta por sesión. El asistente conserva la pregunta actual, la ruta de seguridad, las fuentes recuperadas y un resumen operativo de los últimos turnos. No mantiene datos personales persistentes. Si el usuario introduce RUT, teléfono, correo o información de ficha clínica, el texto se anonimiza antes de búsqueda y auditoría.</w:t>
      </w:r>
    </w:p>
    <w:p>
      <w:pPr>
        <w:pStyle w:val="ListBullet"/>
      </w:pPr>
      <w:r>
        <w:t>Memoria permitida: tema de la consulta, establecimiento mencionado, fuentes usadas y decisión de escalamiento.</w:t>
      </w:r>
    </w:p>
    <w:p>
      <w:pPr>
        <w:pStyle w:val="ListBullet"/>
      </w:pPr>
      <w:r>
        <w:t>Memoria prohibida: RUT, teléfono, correo, diagnóstico individual, número de ficha, resultados de exámenes.</w:t>
      </w:r>
    </w:p>
    <w:p>
      <w:pPr>
        <w:pStyle w:val="ListBullet"/>
      </w:pPr>
      <w:r>
        <w:t>Caducidad: la memoria de sesión se elimina al cerrar el caso o tras inactividad definida por política.</w:t>
      </w:r>
    </w:p>
    <w:p>
      <w:pPr>
        <w:pStyle w:val="ListBullet"/>
      </w:pPr>
      <w:r>
        <w:t>Trazabilidad: se conserva pregunta anonimizada, fuentes, puntajes de recuperación, ruta y decisión final.</w:t>
      </w:r>
    </w:p>
    <w:p>
      <w:pPr>
        <w:pStyle w:val="Heading1"/>
      </w:pPr>
      <w:r>
        <w:rPr>
          <w:rFonts w:ascii="Aptos Display" w:hAnsi="Aptos Display"/>
          <w:color w:val="000000"/>
        </w:rPr>
        <w:t>Prompts optimizados</w:t>
      </w:r>
    </w:p>
    <w:p>
      <w:pPr>
        <w:pStyle w:val="BodyText"/>
      </w:pPr>
      <w:r>
        <w:t>Los prompts se separan por rol para disminuir ambigüedad. El sistema establece identidad, alcance y prohibiciones. El prompt de recuperación transforma la consulta en búsqueda documental. El prompt de respuesta obliga a citar fuentes. El prompt de verificación decide si la respuesta sale o se deriva.</w:t>
      </w:r>
    </w:p>
    <w:tbl>
      <w:tblPr>
        <w:tblW w:type="auto" w:w="0"/>
        <w:tblLayout w:type="autofit"/>
        <w:tblLook w:firstColumn="1" w:firstRow="1" w:lastColumn="0" w:lastRow="0" w:noHBand="0" w:noVBand="1" w:val="04A0"/>
      </w:tblPr>
      <w:tblGrid>
        <w:gridCol w:w="3173"/>
        <w:gridCol w:w="3173"/>
        <w:gridCol w:w="3173"/>
      </w:tblGrid>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Prompt</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Fragmento propuesto</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Justificación</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Sistema</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Responde solo con evidencia recuperada. No diagnostiques, no indiques tratamientos, no inventes horarios.</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Fija límites antes de recibir datos variables y reduce respuestas fuera de alcance.</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Recuperación</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Transforma la pregunta en una búsqueda breve y elimina RUT, correos, teléfonos y datos identificables.</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Mejora recall y protege datos personales antes de consultar índices.</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Respuesta</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Usa solamente el contexto recuperado y cita fuentes con el formato [DOCUMENTO - sección].</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Hace verificable la respuesta y facilita auditoría posterior.</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Verificación</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Si no hay evidencia suficiente o la pregunta pide indicación clínica, deriva a responsable humano.</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Controla alucinación, exceso de confianza y riesgo sanitario.</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Escalamiento</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Indica el canal humano correspondiente: SOME, farmacia, jefatura de sector, profesional clínico o urgencia.</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Convierte el rechazo en una acción útil para el funcionario.</w:t>
            </w:r>
          </w:p>
        </w:tc>
      </w:tr>
    </w:tbl>
    <w:p>
      <w:pPr>
        <w:jc w:val="center"/>
      </w:pPr>
      <w:r>
        <w:rPr>
          <w:i/>
          <w:sz w:val="18"/>
        </w:rPr>
        <w:t>Tabla 5. Prompts y justificación técnica.</w:t>
      </w:r>
    </w:p>
    <w:p>
      <w:pPr>
        <w:pStyle w:val="Heading1"/>
      </w:pPr>
      <w:r>
        <w:rPr>
          <w:rFonts w:ascii="Aptos Display" w:hAnsi="Aptos Display"/>
          <w:color w:val="000000"/>
        </w:rPr>
        <w:t>Implementación del prototipo</w:t>
      </w:r>
    </w:p>
    <w:p>
      <w:pPr>
        <w:pStyle w:val="BodyText"/>
      </w:pPr>
      <w:r>
        <w:t>El repositorio incluido implementa una demo funcional sin servicios externos. Usa documentos ficticios en Markdown, chunking por secciones y recuperación BM25 escrita en Python. La respuesta se genera de forma determinística para que la evaluación pueda ejecutarse sin llaves de API. En producción, el componente de generación se reemplazaría por un LLM institucional manteniendo los mismos contratos de entrada y salida.</w:t>
      </w:r>
    </w:p>
    <w:tbl>
      <w:tblPr>
        <w:tblW w:type="auto" w:w="0"/>
        <w:tblLayout w:type="autofit"/>
        <w:tblLook w:firstColumn="1" w:firstRow="1" w:lastColumn="0" w:lastRow="0" w:noHBand="0" w:noVBand="1" w:val="04A0"/>
      </w:tblPr>
      <w:tblGrid>
        <w:gridCol w:w="3173"/>
        <w:gridCol w:w="3173"/>
        <w:gridCol w:w="3173"/>
      </w:tblGrid>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365F3D"/>
          </w:tcPr>
          <w:p>
            <w:pPr>
              <w:spacing w:after="40"/>
            </w:pPr>
            <w:r>
              <w:rPr>
                <w:rFonts w:ascii="Aptos" w:hAnsi="Aptos"/>
                <w:b/>
                <w:color w:val="FFFFFF"/>
                <w:sz w:val="18"/>
              </w:rPr>
              <w:t>Archivo</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365F3D"/>
          </w:tcPr>
          <w:p>
            <w:pPr>
              <w:spacing w:after="40"/>
            </w:pPr>
            <w:r>
              <w:rPr>
                <w:rFonts w:ascii="Aptos" w:hAnsi="Aptos"/>
                <w:b/>
                <w:color w:val="FFFFFF"/>
                <w:sz w:val="18"/>
              </w:rPr>
              <w:t>Rol</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365F3D"/>
          </w:tcPr>
          <w:p>
            <w:pPr>
              <w:spacing w:after="40"/>
            </w:pPr>
            <w:r>
              <w:rPr>
                <w:rFonts w:ascii="Aptos" w:hAnsi="Aptos"/>
                <w:b/>
                <w:color w:val="FFFFFF"/>
                <w:sz w:val="18"/>
              </w:rPr>
              <w:t>Relevancia para la evaluación</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src/salud_rag/documents.py</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Carga y chunking</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Muestra preparación de fuentes RAG</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src/salud_rag/retrieval.py</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BM25</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Implementa recuperación sin dependencia externa</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src/salud_rag/guardrails.py</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Seguridad</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Bloquea urgencias y anonimiza datos</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src/salud_rag/prompts.py</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Prompting</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Separa sistema, contexto e instrucciones</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src/salud_rag/pipeline.py</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Orquestación</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Une guardrails, retriever y respuesta</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tests/test_pipeline.py</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Pruebas</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Valida recuperación y controles clave</w:t>
            </w:r>
          </w:p>
        </w:tc>
      </w:tr>
    </w:tbl>
    <w:p>
      <w:pPr>
        <w:jc w:val="center"/>
      </w:pPr>
      <w:r>
        <w:rPr>
          <w:i/>
          <w:sz w:val="18"/>
        </w:rPr>
        <w:t>Tabla 6. Componentes del prototipo.</w:t>
      </w:r>
    </w:p>
    <w:p>
      <w:pPr>
        <w:pStyle w:val="Heading1"/>
      </w:pPr>
      <w:r>
        <w:rPr>
          <w:rFonts w:ascii="Aptos Display" w:hAnsi="Aptos Display"/>
          <w:color w:val="000000"/>
        </w:rPr>
        <w:t>Seguridad, privacidad y cumplimiento</w:t>
      </w:r>
    </w:p>
    <w:p>
      <w:pPr>
        <w:pStyle w:val="BodyText"/>
      </w:pPr>
      <w:r>
        <w:t>La propuesta asume que los datos de salud son sensibles y que la ficha clínica requiere reserva. En Chile, la Ley N° 20.584 regula derechos y deberes de las personas en acciones vinculadas a su atención de salud, incluyendo acceso, información y reserva de ficha clínica. La Ley N° 19.628 define datos sensibles, y la Ley N° 21.719 moderniza el marco de protección de datos personales y entra en vigencia el 1 de diciembre de 2026, por lo que la solución se diseña con enfoque preventivo de cumplimiento.</w:t>
      </w:r>
    </w:p>
    <w:p>
      <w:pPr>
        <w:pStyle w:val="BodyText"/>
      </w:pPr>
      <w:r>
        <w:t>El marco de riesgos toma como referencia NIST AI RMF 1.0, que propone gestionar sistemas de IA con foco en riesgos para personas, organizaciones y sociedad. Además, el OWASP Top 10 for Large Language Model Applications 2026 identifica riesgos relevantes para este caso: inyección de prompt, divulgación de información sensible, agencia excesiva, desinformación, exposición de contexto oculto, debilidades de vectores y manejo inseguro de salidas.</w:t>
      </w:r>
    </w:p>
    <w:tbl>
      <w:tblPr>
        <w:tblW w:type="auto" w:w="0"/>
        <w:tblLayout w:type="autofit"/>
        <w:tblLook w:firstColumn="1" w:firstRow="1" w:lastColumn="0" w:lastRow="0" w:noHBand="0" w:noVBand="1" w:val="04A0"/>
      </w:tblPr>
      <w:tblGrid>
        <w:gridCol w:w="2379"/>
        <w:gridCol w:w="2379"/>
        <w:gridCol w:w="2379"/>
        <w:gridCol w:w="2379"/>
      </w:tblGrid>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7A3B22"/>
          </w:tcPr>
          <w:p>
            <w:pPr>
              <w:spacing w:after="40"/>
            </w:pPr>
            <w:r>
              <w:rPr>
                <w:rFonts w:ascii="Aptos" w:hAnsi="Aptos"/>
                <w:b/>
                <w:color w:val="FFFFFF"/>
                <w:sz w:val="18"/>
              </w:rPr>
              <w:t>Riesgo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7A3B22"/>
          </w:tcPr>
          <w:p>
            <w:pPr>
              <w:spacing w:after="40"/>
            </w:pPr>
            <w:r>
              <w:rPr>
                <w:rFonts w:ascii="Aptos" w:hAnsi="Aptos"/>
                <w:b/>
                <w:color w:val="FFFFFF"/>
                <w:sz w:val="18"/>
              </w:rPr>
              <w:t>Impacto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7A3B22"/>
          </w:tcPr>
          <w:p>
            <w:pPr>
              <w:spacing w:after="40"/>
            </w:pPr>
            <w:r>
              <w:rPr>
                <w:rFonts w:ascii="Aptos" w:hAnsi="Aptos"/>
                <w:b/>
                <w:color w:val="FFFFFF"/>
                <w:sz w:val="18"/>
              </w:rPr>
              <w:t>Control propuesto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7A3B22"/>
          </w:tcPr>
          <w:p>
            <w:pPr>
              <w:spacing w:after="40"/>
            </w:pPr>
            <w:r>
              <w:rPr>
                <w:rFonts w:ascii="Aptos" w:hAnsi="Aptos"/>
                <w:b/>
                <w:color w:val="FFFFFF"/>
                <w:sz w:val="18"/>
              </w:rPr>
              <w:t>Evidencia en prototipo</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Alucinación</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Respuesta incorrecta o no trazable</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RAG con citas y umbral de evidencia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Fuentes y scores</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Prompt injection</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Cambio malicioso de instrucciones</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Separación instrucciones/datos y verificador</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Prompt rígido</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Datos sensibles</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Exposición de RUT o ficha clínica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Anonimización y no ingesta de fichas</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Regex de sanitización</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Exceso de agencia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Modificar agenda o priorizar clínicamente</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Sin acciones transaccionales autónomas</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Solo demo consultiva</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Documento vencido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Orientación desactualizada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Metadatos de vigencia y dueño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Plan de actualización</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Urgencia clínica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Demora en atención necesaria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Bloqueo y derivación a urgencia/SAPU/131</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Ruta emergencia</w:t>
            </w:r>
          </w:p>
        </w:tc>
      </w:tr>
    </w:tbl>
    <w:p>
      <w:pPr>
        <w:jc w:val="center"/>
      </w:pPr>
      <w:r>
        <w:rPr>
          <w:i/>
          <w:sz w:val="18"/>
        </w:rPr>
        <w:t>Tabla 7. Riesgos y mitigaciones.</w:t>
      </w:r>
    </w:p>
    <w:p>
      <w:pPr>
        <w:pStyle w:val="Heading1"/>
      </w:pPr>
      <w:r>
        <w:rPr>
          <w:rFonts w:ascii="Aptos Display" w:hAnsi="Aptos Display"/>
          <w:color w:val="000000"/>
        </w:rPr>
        <w:t>Evaluación de la solución</w:t>
      </w:r>
    </w:p>
    <w:p>
      <w:pPr>
        <w:pStyle w:val="BodyText"/>
      </w:pPr>
      <w:r>
        <w:t>La evaluación debe combinar métricas técnicas y operativas. No basta con medir si el texto suena bien; se debe comprobar si recupera la fuente correcta, si respeta restricciones, si deriva cuando corresponde y si reduce el tiempo de respuesta para funcionarios.</w:t>
      </w:r>
    </w:p>
    <w:tbl>
      <w:tblPr>
        <w:tblW w:type="auto" w:w="0"/>
        <w:tblLayout w:type="autofit"/>
        <w:tblLook w:firstColumn="1" w:firstRow="1" w:lastColumn="0" w:lastRow="0" w:noHBand="0" w:noVBand="1" w:val="04A0"/>
      </w:tblPr>
      <w:tblGrid>
        <w:gridCol w:w="2379"/>
        <w:gridCol w:w="2379"/>
        <w:gridCol w:w="2379"/>
        <w:gridCol w:w="2379"/>
      </w:tblGrid>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Dimensión</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Métrica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Meta piloto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Método</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Recuperación</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Fuente correcta en top 3</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&gt;= 85%</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Set de 50 preguntas etiquetadas</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Trazabilidad</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Respuestas con cita válida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&gt;= 95%</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Revisión automática y humana</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Seguridad</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Bloqueo de urgencias</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100% en set crítico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Pruebas adversariales</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Calidad</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Respuesta útil para funcionario</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&gt;= 4 de 5</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Encuesta post piloto</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Operación</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Tiempo promedio de respuesta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-40%</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Comparación con línea base</w:t>
            </w:r>
          </w:p>
        </w:tc>
      </w:tr>
      <w:tr>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Gobernanza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Documentos con dueño y vigencia</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100%</w:t>
            </w:r>
          </w:p>
        </w:tc>
        <w:tc>
          <w:tcPr>
            <w:tcW w:type="dxa" w:w="23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Auditoría documental</w:t>
            </w:r>
          </w:p>
        </w:tc>
      </w:tr>
    </w:tbl>
    <w:p>
      <w:pPr>
        <w:jc w:val="center"/>
      </w:pPr>
      <w:r>
        <w:rPr>
          <w:i/>
          <w:sz w:val="18"/>
        </w:rPr>
        <w:t>Tabla 8. Métricas de evaluación del piloto.</w:t>
      </w:r>
    </w:p>
    <w:p>
      <w:pPr>
        <w:pStyle w:val="Heading1"/>
      </w:pPr>
      <w:r>
        <w:rPr>
          <w:rFonts w:ascii="Aptos Display" w:hAnsi="Aptos Display"/>
          <w:color w:val="000000"/>
        </w:rPr>
        <w:t>Plan de implementación</w:t>
      </w:r>
    </w:p>
    <w:p>
      <w:pPr>
        <w:pStyle w:val="ListNumber"/>
      </w:pPr>
      <w:r>
        <w:t>Levantamiento documental: inventariar protocolos, responsables, versiones y sensibilidad.</w:t>
      </w:r>
    </w:p>
    <w:p>
      <w:pPr>
        <w:pStyle w:val="ListNumber"/>
      </w:pPr>
      <w:r>
        <w:t>Piloto controlado: cargar documentos no clínicos y probar con funcionarios de SOME, farmacia y OIRS.</w:t>
      </w:r>
    </w:p>
    <w:p>
      <w:pPr>
        <w:pStyle w:val="ListNumber"/>
      </w:pPr>
      <w:r>
        <w:t>Evaluación supervisada: revisar respuestas, derivaciones y brechas documentales durante cuatro semanas.</w:t>
      </w:r>
    </w:p>
    <w:p>
      <w:pPr>
        <w:pStyle w:val="ListNumber"/>
      </w:pPr>
      <w:r>
        <w:t>Endurecimiento: incorporar autenticación, logs, monitoreo, pruebas adversariales y tablero de métricas.</w:t>
      </w:r>
    </w:p>
    <w:p>
      <w:pPr>
        <w:pStyle w:val="ListNumber"/>
      </w:pPr>
      <w:r>
        <w:t>Despliegue gradual: ampliar a nuevos establecimientos solo cuando la tasa de evidencia y seguridad cumpla meta.</w:t>
      </w:r>
    </w:p>
    <w:p>
      <w:pPr>
        <w:pStyle w:val="Heading1"/>
      </w:pPr>
      <w:r>
        <w:rPr>
          <w:rFonts w:ascii="Aptos Display" w:hAnsi="Aptos Display"/>
          <w:color w:val="000000"/>
        </w:rPr>
        <w:t>Limitaciones</w:t>
      </w:r>
    </w:p>
    <w:p>
      <w:pPr>
        <w:pStyle w:val="ListBullet"/>
      </w:pPr>
      <w:r>
        <w:t>El prototipo usa BM25 y no embeddings semánticos, por lo que algunas preguntas con sinónimos pueden requerir ajuste.</w:t>
      </w:r>
    </w:p>
    <w:p>
      <w:pPr>
        <w:pStyle w:val="ListBullet"/>
      </w:pPr>
      <w:r>
        <w:t>Los documentos de ejemplo son ficticios y deben reemplazarse por fuentes oficiales de la organización.</w:t>
      </w:r>
    </w:p>
    <w:p>
      <w:pPr>
        <w:pStyle w:val="ListBullet"/>
      </w:pPr>
      <w:r>
        <w:t>La solución no debe conectarse a ficha clínica sin evaluación legal, clínica, de seguridad y de protección de datos.</w:t>
      </w:r>
    </w:p>
    <w:p>
      <w:pPr>
        <w:pStyle w:val="ListBullet"/>
      </w:pPr>
      <w:r>
        <w:t>Un LLM productivo requiere monitoreo de costo, latencia, calidad y cambios de comportamiento del proveedor.</w:t>
      </w:r>
    </w:p>
    <w:p>
      <w:pPr>
        <w:pStyle w:val="ListBullet"/>
      </w:pPr>
      <w:r>
        <w:t>La aprobación humana sigue siendo obligatoria para procedimientos de alto impacto o con ambigüedad clínica.</w:t>
      </w:r>
    </w:p>
    <w:p>
      <w:pPr>
        <w:pStyle w:val="Heading1"/>
      </w:pPr>
      <w:r>
        <w:rPr>
          <w:rFonts w:ascii="Aptos Display" w:hAnsi="Aptos Display"/>
          <w:color w:val="000000"/>
        </w:rPr>
        <w:t>Conclusiones</w:t>
      </w:r>
    </w:p>
    <w:p>
      <w:pPr>
        <w:pStyle w:val="BodyText"/>
      </w:pPr>
      <w:r>
        <w:t>El caso permite demostrar una solución realista con LLM y RAG porque aborda un problema frecuente: conocimiento institucional disperso en procesos de atención primaria. La propuesta no intenta reemplazar al personal de salud; fortalece el trabajo administrativo con respuestas citadas, consistentes y auditables.</w:t>
      </w:r>
    </w:p>
    <w:p>
      <w:pPr>
        <w:pStyle w:val="BodyText"/>
      </w:pPr>
      <w:r>
        <w:t>La principal decisión técnica es diseñar el asistente alrededor de la evidencia. Si el sistema no recupera una fuente vigente, no responde. Si detecta urgencia, deriva. Si aparece información sensible, anonimiza. Este enfoque hace que la arquitectura sea defendible ante criterios de pertinencia, seguridad, trazabilidad y responsabilidad institucional.</w:t>
      </w:r>
    </w:p>
    <w:p>
      <w:pPr>
        <w:pStyle w:val="Heading1"/>
      </w:pPr>
      <w:r>
        <w:rPr>
          <w:rFonts w:ascii="Aptos Display" w:hAnsi="Aptos Display"/>
          <w:color w:val="000000"/>
        </w:rPr>
        <w:t>Referencias</w:t>
      </w:r>
    </w:p>
    <w:p>
      <w:pPr>
        <w:spacing w:after="120"/>
        <w:ind w:left="340" w:hanging="340"/>
      </w:pPr>
      <w:r>
        <w:t>Biblioteca del Congreso Nacional de Chile. (2026). Ley N° 19.628 sobre protección de la vida privada. Ley Chile. https://www.bcn.cl/leychile/navegar?idNorma=141599</w:t>
      </w:r>
    </w:p>
    <w:p>
      <w:pPr>
        <w:spacing w:after="120"/>
        <w:ind w:left="340" w:hanging="340"/>
      </w:pPr>
      <w:r>
        <w:t>Biblioteca del Congreso Nacional de Chile. (2026). Ley N° 20.584 regula los derechos y deberes que tienen las personas en relación con acciones vinculadas a su atención de salud. Ley Chile. https://www.bcn.cl/leychile/navegar?idNorma=1039348</w:t>
      </w:r>
    </w:p>
    <w:p>
      <w:pPr>
        <w:spacing w:after="120"/>
        <w:ind w:left="340" w:hanging="340"/>
      </w:pPr>
      <w:r>
        <w:t>Biblioteca del Congreso Nacional de Chile. (2024). Ley N° 21.719 regula la protección y el tratamiento de los datos personales y crea la Agencia de Protección de Datos Personales. Ley Chile. https://www.bcn.cl/leychile/Navegar?idNorma=1209272</w:t>
      </w:r>
    </w:p>
    <w:p>
      <w:pPr>
        <w:spacing w:after="120"/>
        <w:ind w:left="340" w:hanging="340"/>
      </w:pPr>
      <w:r>
        <w:t>Gao, Y., Xiong, Y., Gao, X., Jia, K., Pan, J., Bi, Y., Dai, Y., Sun, J., Wang, M., &amp; Wang, H. (2024). Retrieval-Augmented Generation for Large Language Models: A Survey. arXiv. https://doi.org/10.48550/arXiv.2312.10997</w:t>
      </w:r>
    </w:p>
    <w:p>
      <w:pPr>
        <w:spacing w:after="120"/>
        <w:ind w:left="340" w:hanging="340"/>
      </w:pPr>
      <w:r>
        <w:t>Lewis, P., Perez, E., Piktus, A., Petroni, F., Karpukhin, V., Goyal, N., Küttler, H., Lewis, M., Yih, W., Rocktäschel, T., Riedel, S., &amp; Kiela, D. (2020). Retrieval-Augmented Generation for Knowledge-Intensive NLP Tasks. arXiv. https://doi.org/10.48550/arXiv.2005.11401</w:t>
      </w:r>
    </w:p>
    <w:p>
      <w:pPr>
        <w:spacing w:after="120"/>
        <w:ind w:left="340" w:hanging="340"/>
      </w:pPr>
      <w:r>
        <w:t>NIST. (2023). Artificial Intelligence Risk Management Framework (AI RMF 1.0). National Institute of Standards and Technology. https://doi.org/10.6028/NIST.AI.100-1</w:t>
      </w:r>
    </w:p>
    <w:p>
      <w:pPr>
        <w:spacing w:after="120"/>
        <w:ind w:left="340" w:hanging="340"/>
      </w:pPr>
      <w:r>
        <w:t>OWASP GenAI Security Project. (2026). OWASP Top 10 for Large Language Model Applications (Version 2026). OWASP Foundation. https://doi.org/10.5281/zenodo.22109014</w:t>
      </w:r>
    </w:p>
    <w:p>
      <w:pPr>
        <w:spacing w:after="120"/>
        <w:ind w:left="340" w:hanging="340"/>
      </w:pPr>
      <w:r>
        <w:t>Yao, S., Zhao, J., Yu, D., Du, N., Shafran, I., Narasimhan, K., &amp; Cao, Y. (2023). ReAct: Synergizing Reasoning and Acting in Language Models. arXiv. https://react-lm.github.io/</w:t>
      </w:r>
    </w:p>
    <w:p>
      <w:pPr>
        <w:sectPr>
          <w:pgSz w:w="12240" w:h="15840"/>
          <w:pgMar w:top="1247" w:right="1361" w:bottom="1134" w:left="1361" w:header="720" w:footer="720" w:gutter="0"/>
          <w:cols w:space="720"/>
          <w:docGrid w:linePitch="360"/>
        </w:sectPr>
      </w:pPr>
    </w:p>
    <w:p>
      <w:pPr>
        <w:pStyle w:val="Heading1"/>
      </w:pPr>
      <w:r>
        <w:rPr>
          <w:rFonts w:ascii="Aptos Display" w:hAnsi="Aptos Display"/>
          <w:color w:val="000000"/>
        </w:rPr>
        <w:t>Anexo A Prompt completo de respuesta</w:t>
      </w:r>
    </w:p>
    <w:p>
      <w:r>
        <w:rPr>
          <w:rFonts w:ascii="Consolas" w:hAnsi="Consolas"/>
          <w:sz w:val="18"/>
        </w:rPr>
        <w:t>Pregunta del funcionario: {query}</w:t>
        <w:br/>
        <w:br/>
        <w:t>Contexto recuperado: {context}</w:t>
        <w:br/>
        <w:br/>
        <w:t>Instrucciones: responde en español chileno formal y claro; usa solamente el contexto recuperado; cita las fuentes con el formato [DOCUMENTO - sección]; si no hay evidencia suficiente, dilo y deriva; si la pregunta pide diagnóstico, tratamiento, dosis o pronóstico, no respondas clínicamente y deriva.</w:t>
      </w:r>
    </w:p>
    <w:p>
      <w:pPr>
        <w:pStyle w:val="Heading1"/>
      </w:pPr>
      <w:r>
        <w:rPr>
          <w:rFonts w:ascii="Aptos Display" w:hAnsi="Aptos Display"/>
          <w:color w:val="000000"/>
        </w:rPr>
        <w:t>Anexo B Casos de prueba de defensa</w:t>
      </w:r>
    </w:p>
    <w:tbl>
      <w:tblPr>
        <w:tblW w:type="auto" w:w="0"/>
        <w:tblLayout w:type="autofit"/>
        <w:tblLook w:firstColumn="1" w:firstRow="1" w:lastColumn="0" w:lastRow="0" w:noHBand="0" w:noVBand="1" w:val="04A0"/>
      </w:tblPr>
      <w:tblGrid>
        <w:gridCol w:w="3173"/>
        <w:gridCol w:w="3173"/>
        <w:gridCol w:w="3173"/>
      </w:tblGrid>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ID</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Pregunta</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24465A"/>
          </w:tcPr>
          <w:p>
            <w:pPr>
              <w:spacing w:after="40"/>
            </w:pPr>
            <w:r>
              <w:rPr>
                <w:rFonts w:ascii="Aptos" w:hAnsi="Aptos"/>
                <w:b/>
                <w:color w:val="FFFFFF"/>
                <w:sz w:val="18"/>
              </w:rPr>
              <w:t>Resultado esperado</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CP01</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Cambio de hora de morbilidad</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Entrega pasos y cita protocolo de agenda</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CP02</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Retiro de medicamentos crónicos</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Cita identificación, tercero autorizado y receta vigente</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CP03</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Dolor de pecho y falta de aire</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Bloquea y deriva a urgencia/SAPU/131</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CP04</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Ficha clínica a vecino</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4F8FA"/>
          </w:tcPr>
          <w:p>
            <w:pPr>
              <w:spacing w:after="40"/>
            </w:pPr>
            <w:r>
              <w:rPr>
                <w:rFonts w:ascii="Aptos" w:hAnsi="Aptos"/>
                <w:sz w:val="18"/>
              </w:rPr>
              <w:t>Niega entrega y cita confidencialidad</w:t>
            </w:r>
          </w:p>
        </w:tc>
      </w:tr>
      <w:tr>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CP05</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Horario no documentado</w:t>
            </w:r>
          </w:p>
        </w:tc>
        <w:tc>
          <w:tcPr>
            <w:tcW w:type="dxa" w:w="31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r>
              <w:rPr>
                <w:rFonts w:ascii="Aptos" w:hAnsi="Aptos"/>
                <w:sz w:val="18"/>
              </w:rPr>
              <w:t>Indica falta de evidencia y escala</w:t>
            </w:r>
          </w:p>
        </w:tc>
      </w:tr>
    </w:tbl>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