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Avance Semanal N°16 — Semana 38 (14 al 18-09-2026)</w:t>
      </w:r>
    </w:p>
    <w:p>
      <w:r>
        <w:t>Programa Andes Digital · Para: Carolina Pérez (Gerente General), Andrés Muñoz (Jefe de TI) · Emitido: 18-09-2026</w:t>
      </w:r>
    </w:p>
    <w:p>
      <w:pPr>
        <w:pStyle w:val="Heading2"/>
      </w:pPr>
      <w:r>
        <w:t>1. Estado general: AMARILLO</w:t>
      </w:r>
    </w:p>
    <w:p>
      <w:r>
        <w:t>La configuración del ERP avanza más lento de lo planificado por la falta de validación del plan de cuentas. La app avanza según plan. El piloto de la app se mantiene para fines de enero.</w:t>
      </w:r>
    </w:p>
    <w:p>
      <w:pPr>
        <w:pStyle w:val="Heading2"/>
      </w:pPr>
      <w:r>
        <w:t>2. Avance por subproyecto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Subproyecto</w:t>
            </w:r>
          </w:p>
        </w:tc>
        <w:tc>
          <w:tcPr>
            <w:tcW w:type="dxa" w:w="2160"/>
          </w:tcPr>
          <w:p>
            <w:r>
              <w:t>Plan</w:t>
            </w:r>
          </w:p>
        </w:tc>
        <w:tc>
          <w:tcPr>
            <w:tcW w:type="dxa" w:w="2160"/>
          </w:tcPr>
          <w:p>
            <w:r>
              <w:t>Real</w:t>
            </w:r>
          </w:p>
        </w:tc>
        <w:tc>
          <w:tcPr>
            <w:tcW w:type="dxa" w:w="2160"/>
          </w:tcPr>
          <w:p>
            <w:r>
              <w:t>Estado</w:t>
            </w:r>
          </w:p>
        </w:tc>
      </w:tr>
      <w:tr>
        <w:tc>
          <w:tcPr>
            <w:tcW w:type="dxa" w:w="2160"/>
          </w:tcPr>
          <w:p>
            <w:r>
              <w:t>ERP</w:t>
            </w:r>
          </w:p>
        </w:tc>
        <w:tc>
          <w:tcPr>
            <w:tcW w:type="dxa" w:w="2160"/>
          </w:tcPr>
          <w:p>
            <w:r>
              <w:t>55%</w:t>
            </w:r>
          </w:p>
        </w:tc>
        <w:tc>
          <w:tcPr>
            <w:tcW w:type="dxa" w:w="2160"/>
          </w:tcPr>
          <w:p>
            <w:r>
              <w:t>47%</w:t>
            </w:r>
          </w:p>
        </w:tc>
        <w:tc>
          <w:tcPr>
            <w:tcW w:type="dxa" w:w="2160"/>
          </w:tcPr>
          <w:p>
            <w:r>
              <w:t>Amarillo</w:t>
            </w:r>
          </w:p>
        </w:tc>
      </w:tr>
      <w:tr>
        <w:tc>
          <w:tcPr>
            <w:tcW w:type="dxa" w:w="2160"/>
          </w:tcPr>
          <w:p>
            <w:r>
              <w:t>App de despacho</w:t>
            </w:r>
          </w:p>
        </w:tc>
        <w:tc>
          <w:tcPr>
            <w:tcW w:type="dxa" w:w="2160"/>
          </w:tcPr>
          <w:p>
            <w:r>
              <w:t>44%</w:t>
            </w:r>
          </w:p>
        </w:tc>
        <w:tc>
          <w:tcPr>
            <w:tcW w:type="dxa" w:w="2160"/>
          </w:tcPr>
          <w:p>
            <w:r>
              <w:t>37%</w:t>
            </w:r>
          </w:p>
        </w:tc>
        <w:tc>
          <w:tcPr>
            <w:tcW w:type="dxa" w:w="2160"/>
          </w:tcPr>
          <w:p>
            <w:r>
              <w:t>Amarillo</w:t>
            </w:r>
          </w:p>
        </w:tc>
      </w:tr>
      <w:tr>
        <w:tc>
          <w:tcPr>
            <w:tcW w:type="dxa" w:w="2160"/>
          </w:tcPr>
          <w:p>
            <w:r>
              <w:t>Integración y BI</w:t>
            </w:r>
          </w:p>
        </w:tc>
        <w:tc>
          <w:tcPr>
            <w:tcW w:type="dxa" w:w="2160"/>
          </w:tcPr>
          <w:p>
            <w:r>
              <w:t>10%</w:t>
            </w:r>
          </w:p>
        </w:tc>
        <w:tc>
          <w:tcPr>
            <w:tcW w:type="dxa" w:w="2160"/>
          </w:tcPr>
          <w:p>
            <w:r>
              <w:t>8%</w:t>
            </w:r>
          </w:p>
        </w:tc>
        <w:tc>
          <w:tcPr>
            <w:tcW w:type="dxa" w:w="2160"/>
          </w:tcPr>
          <w:p>
            <w:r>
              <w:t>Verde</w:t>
            </w:r>
          </w:p>
        </w:tc>
      </w:tr>
      <w:tr>
        <w:tc>
          <w:tcPr>
            <w:tcW w:type="dxa" w:w="2160"/>
          </w:tcPr>
          <w:p>
            <w:r>
              <w:t>Portal de clientes</w:t>
            </w:r>
          </w:p>
        </w:tc>
        <w:tc>
          <w:tcPr>
            <w:tcW w:type="dxa" w:w="2160"/>
          </w:tcPr>
          <w:p>
            <w:r>
              <w:t>0%</w:t>
            </w:r>
          </w:p>
        </w:tc>
        <w:tc>
          <w:tcPr>
            <w:tcW w:type="dxa" w:w="2160"/>
          </w:tcPr>
          <w:p>
            <w:r>
              <w:t>0%</w:t>
            </w:r>
          </w:p>
        </w:tc>
        <w:tc>
          <w:tcPr>
            <w:tcW w:type="dxa" w:w="2160"/>
          </w:tcPr>
          <w:p>
            <w:r>
              <w:t>Verde</w:t>
            </w:r>
          </w:p>
        </w:tc>
      </w:tr>
    </w:tbl>
    <w:p>
      <w:pPr>
        <w:pStyle w:val="Heading2"/>
      </w:pPr>
      <w:r>
        <w:t>3. Logros de la semana</w:t>
      </w:r>
    </w:p>
    <w:p>
      <w:pPr>
        <w:pStyle w:val="ListBullet"/>
      </w:pPr>
      <w:r>
        <w:t>Configuración de módulos de ventas.</w:t>
      </w:r>
    </w:p>
    <w:p>
      <w:pPr>
        <w:pStyle w:val="ListBullet"/>
      </w:pPr>
      <w:r>
        <w:t>Módulo de rutas de la app en pruebas internas.</w:t>
      </w:r>
    </w:p>
    <w:p>
      <w:pPr>
        <w:pStyle w:val="Heading2"/>
      </w:pPr>
      <w:r>
        <w:t>4. Riesgos principales</w:t>
      </w:r>
    </w:p>
    <w:p>
      <w:pPr>
        <w:pStyle w:val="ListBullet"/>
      </w:pPr>
      <w:r>
        <w:t>Calidad de datos maestros (alto): depuración en curso por Operaciones.</w:t>
      </w:r>
    </w:p>
    <w:p>
      <w:pPr>
        <w:pStyle w:val="ListBullet"/>
      </w:pPr>
      <w:r>
        <w:t>Disponibilidad de usuarios clave (medio): pendiente calendario de dedicación.</w:t>
      </w:r>
    </w:p>
    <w:p>
      <w:pPr>
        <w:pStyle w:val="Heading2"/>
      </w:pPr>
      <w:r>
        <w:t>5. Problemas abiertos</w:t>
      </w:r>
    </w:p>
    <w:p>
      <w:pPr>
        <w:pStyle w:val="ListBullet"/>
      </w:pPr>
      <w:r>
        <w:t>Plan de cuentas no validado por Finanzas (responsable: Rodrigo Soto, compromiso 02-10).</w:t>
      </w:r>
    </w:p>
    <w:p>
      <w:pPr>
        <w:pStyle w:val="Heading2"/>
      </w:pPr>
      <w:r>
        <w:t>6. Próximos pasos</w:t>
      </w:r>
    </w:p>
    <w:p>
      <w:pPr>
        <w:pStyle w:val="ListBullet"/>
      </w:pPr>
      <w:r>
        <w:t>Entrega de módulo POD de la app.</w:t>
      </w:r>
    </w:p>
    <w:p>
      <w:pPr>
        <w:pStyle w:val="ListBullet"/>
      </w:pPr>
      <w:r>
        <w:t>Primera versión del diseño de interfaces.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5200" cy="432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55200" cy="43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