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Bases del concurso Fondo Impulsa Innovación Regional 2026</w:t>
      </w:r>
    </w:p>
    <w:p>
      <w:r>
        <w:t>DOCUMENTO FICTICIO PARA PRUEBAS. Agencia Regional de Fomento (ficticia).</w:t>
      </w:r>
    </w:p>
    <w:p>
      <w:pPr>
        <w:pStyle w:val="Heading2"/>
      </w:pPr>
      <w:r>
        <w:t>1. Objetivo</w:t>
      </w:r>
    </w:p>
    <w:p>
      <w:r>
        <w:t>Apoyar proyectos de innovación de empresas de la región que desarrollen y validen nuevos productos, servicios o procesos con potencial de mercado demostrable.</w:t>
      </w:r>
    </w:p>
    <w:p>
      <w:pPr>
        <w:pStyle w:val="Heading2"/>
      </w:pPr>
      <w:r>
        <w:t>2. Postulantes</w:t>
      </w:r>
    </w:p>
    <w:p>
      <w:r>
        <w:t>Podrán postular personas jurídicas constituidas en Chile, con inicio de actividades en primera categoría de al menos 12 meses a la fecha de cierre. No podrán postular empresas con deudas tributarias o previsionales impagas a la fecha de postulación.</w:t>
      </w:r>
    </w:p>
    <w:p>
      <w:pPr>
        <w:pStyle w:val="Heading2"/>
      </w:pPr>
      <w:r>
        <w:t>3. Financiamiento</w:t>
      </w:r>
    </w:p>
    <w:p>
      <w:r>
        <w:t>La Agencia cofinanciará hasta el 70% del costo total del proyecto, con un tope de $40.000.000.</w:t>
      </w:r>
    </w:p>
    <w:p>
      <w:r>
        <w:t>El postulante deberá aportar al menos el 30% del costo total del proyecto, del cual al menos el 50% deberá ser pecuniario.</w:t>
      </w:r>
    </w:p>
    <w:p>
      <w:r>
        <w:t>Los gastos de administración no podrán superar el 10% del costo total del proyecto. No son financiables la compra de vehículos ni el pago de deudas.</w:t>
      </w:r>
    </w:p>
    <w:p>
      <w:pPr>
        <w:pStyle w:val="Heading2"/>
      </w:pPr>
      <w:r>
        <w:t>4. Plazos</w:t>
      </w:r>
    </w:p>
    <w:p>
      <w:r>
        <w:t>Las consultas se recibirán hasta el 20 de octubre de 2026 al correo consultas@fomento-demo.cl.</w:t>
      </w:r>
    </w:p>
    <w:p>
      <w:r>
        <w:t>Las respuestas se publicarán a más tardar el 27 de octubre de 2026.</w:t>
      </w:r>
    </w:p>
    <w:p>
      <w:r>
        <w:t>Las postulaciones se recibirán hasta las 15:00 horas del 10 de noviembre de 2026, exclusivamente a través de la plataforma de postulación en línea. No se aceptarán postulaciones fuera de plazo.</w:t>
      </w:r>
    </w:p>
    <w:p>
      <w:pPr>
        <w:pStyle w:val="Heading2"/>
      </w:pPr>
      <w:r>
        <w:t>5. Presentación de la propuesta</w:t>
      </w:r>
    </w:p>
    <w:p>
      <w:r>
        <w:t>La propuesta técnica no podrá exceder 15 páginas en formato PDF, tamaño carta, letra de 11 puntos.</w:t>
      </w:r>
    </w:p>
    <w:p>
      <w:r>
        <w:t>Deberá adjuntarse el Anexo 1 (Declaración jurada de veracidad) firmado por el representante legal.</w:t>
      </w:r>
    </w:p>
    <w:p>
      <w:r>
        <w:t>El formulario de postulación se completará según las instrucciones del Anexo 2.</w:t>
      </w:r>
    </w:p>
    <w:p>
      <w:pPr>
        <w:pStyle w:val="Heading2"/>
      </w:pPr>
      <w:r>
        <w:t>6. Admisibilidad</w:t>
      </w:r>
    </w:p>
    <w:p>
      <w:r>
        <w:t>Las postulaciones que no cumplan con los requisitos de los numerales 2 y 5 serán declaradas inadmisibles.</w:t>
      </w:r>
    </w:p>
    <w:p>
      <w:pPr>
        <w:pStyle w:val="Heading2"/>
      </w:pPr>
      <w:r>
        <w:t>7. Evaluación</w:t>
      </w:r>
    </w:p>
    <w:p>
      <w:r>
        <w:t>Las postulaciones admisibles serán evaluadas con una escala de 1 a 5 según los siguientes criterios: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Ponderación</w:t>
            </w:r>
          </w:p>
        </w:tc>
        <w:tc>
          <w:tcPr>
            <w:tcW w:type="dxa" w:w="2880"/>
          </w:tcPr>
          <w:p>
            <w:r>
              <w:t>Qué se evalúa</w:t>
            </w:r>
          </w:p>
        </w:tc>
      </w:tr>
      <w:tr>
        <w:tc>
          <w:tcPr>
            <w:tcW w:type="dxa" w:w="2880"/>
          </w:tcPr>
          <w:p>
            <w:r>
              <w:t>C1 Calidad técnica e innovación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Grado de novedad, solidez técnica y plan de trabajo</w:t>
            </w:r>
          </w:p>
        </w:tc>
      </w:tr>
      <w:tr>
        <w:tc>
          <w:tcPr>
            <w:tcW w:type="dxa" w:w="2880"/>
          </w:tcPr>
          <w:p>
            <w:r>
              <w:t>C2 Mercado e impacto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Tamaño y validación del mercado; impacto económico regional</w:t>
            </w:r>
          </w:p>
        </w:tc>
      </w:tr>
      <w:tr>
        <w:tc>
          <w:tcPr>
            <w:tcW w:type="dxa" w:w="2880"/>
          </w:tcPr>
          <w:p>
            <w:r>
              <w:t>C3 Capacidades del equipo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Experiencia y dedicación del equipo y sus asociados</w:t>
            </w:r>
          </w:p>
        </w:tc>
      </w:tr>
      <w:tr>
        <w:tc>
          <w:tcPr>
            <w:tcW w:type="dxa" w:w="2880"/>
          </w:tcPr>
          <w:p>
            <w:r>
              <w:t>C4 Presupuesto y sostenibilidad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Coherencia del presupuesto y sostenibilidad posterior</w:t>
            </w:r>
          </w:p>
        </w:tc>
      </w:tr>
    </w:tbl>
    <w:p>
      <w:r>
        <w:t>Serán elegibles para adjudicación las postulaciones con nota final igual o superior a 3,5 y sin criterios con nota inferior a 3,0. En caso de empate, prevalecerá el mayor puntaje en C1.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del concurso Fondo Impulsa Innovación Regional 2026</dc:title>
  <dc:creator>Agencia Regional de Fomento (ficticia)</dc:creator>
  <cp:lastModifiedBy>Agencia Regional de Fomento (ficticia)</cp:lastModifiedBy>
  <cp:revision>1</cp:revision>
  <dcterms:created xsi:type="dcterms:W3CDTF">2026-09-29T19:05:15Z</dcterms:created>
  <dcterms:modified xsi:type="dcterms:W3CDTF">2026-09-29T19:05:15Z</dcterms:modified>
</cp:coreProperties>
</file>