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Sábado 3 de mayo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11:30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Scrum-Master/Desarrollador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la validación de llegada tarde o ausencia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902343749999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que el usuario no esté repetido en la base de datos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ajustes y pruebas en la eliminación, mensajes de confirmaciones y muestra de permisos con paginación.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2865"/>
        <w:gridCol w:w="1860"/>
        <w:tblGridChange w:id="0">
          <w:tblGrid>
            <w:gridCol w:w="6105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Guardar referencia de la huella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Añadir un tipo de justificación en el formulario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no esté repetido en la base de datos en el apartado usuarios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Eliminar los permisos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los registros de los permisos registrados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opción de ocultar y mostrar contraseña.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Si no tiene rol mostrar no asignado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Cuando genero un registro asistencia registrar asistencia detalle para guardar la hora de entrada y hora de salida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75">
      <w:pPr>
        <w:shd w:fill="ffffff" w:val="clear"/>
        <w:spacing w:before="28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8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7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EyWciwaT2BVrj1Umz22DDoy7QA==">CgMxLjA4AHIhMU92OEgtMFlEeXhZTlZNd3lzR2dvZDdvdG0tQkFmMnpM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