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rPr>
          <w:rFonts w:ascii="Calibri" w:cs="Calibri" w:eastAsia="Calibri" w:hAnsi="Calibri"/>
          <w:b/>
          <w:bCs/>
          <w:i w:val="false"/>
          <w:iCs w:val="false"/>
          <w:color w:val="000000"/>
          <w:sz w:val="52"/>
          <w:szCs w:val="52"/>
        </w:rPr>
        <w:t xml:space="preserve">AML HOOK</w:t>
      </w:r>
    </w:p>
    <w:p>
      <w:pPr>
        <w:spacing w:after="60"/>
      </w:pPr>
      <w:r>
        <w:rPr>
          <w:rFonts w:ascii="Calibri" w:cs="Calibri" w:eastAsia="Calibri" w:hAnsi="Calibri"/>
          <w:b w:val="false"/>
          <w:bCs w:val="false"/>
          <w:i/>
          <w:iCs/>
          <w:color w:val="444444"/>
          <w:sz w:val="26"/>
          <w:szCs w:val="26"/>
        </w:rPr>
        <w:t xml:space="preserve">Caso de Uso: Detección de Structuring</w:t>
      </w:r>
    </w:p>
    <w:p>
      <w:pPr>
        <w:spacing w:after="140" w:before="0" w:line="276"/>
      </w:pPr>
      <w:r>
        <w:rPr>
          <w:rFonts w:ascii="Calibri" w:cs="Calibri" w:eastAsia="Calibri" w:hAnsi="Calibri"/>
          <w:b w:val="false"/>
          <w:bCs w:val="false"/>
          <w:i w:val="false"/>
          <w:iCs w:val="false"/>
          <w:color w:val="000000"/>
          <w:sz w:val="22"/>
          <w:szCs w:val="22"/>
        </w:rPr>
        <w:t xml:space="preserve">Gonzalo Emanuel Heredia</w:t>
      </w:r>
    </w:p>
    <w:p>
      <w:pPr>
        <w:spacing w:after="200" w:before="0" w:line="276"/>
      </w:pPr>
      <w:r>
        <w:rPr>
          <w:rFonts w:ascii="Calibri" w:cs="Calibri" w:eastAsia="Calibri" w:hAnsi="Calibri"/>
          <w:b w:val="false"/>
          <w:bCs w:val="false"/>
          <w:i w:val="false"/>
          <w:iCs w:val="false"/>
          <w:color w:val="444444"/>
          <w:sz w:val="22"/>
          <w:szCs w:val="22"/>
        </w:rPr>
        <w:t xml:space="preserve">Uniswap Hook Incubator, Cohort 10 (UHI10). Julio 2026</w:t>
      </w:r>
    </w:p>
    <w:p>
      <w:pPr>
        <w:spacing w:after="140" w:before="280"/>
      </w:pPr>
      <w:r>
        <w:rPr>
          <w:rFonts w:ascii="Calibri" w:cs="Calibri" w:eastAsia="Calibri" w:hAnsi="Calibri"/>
          <w:b/>
          <w:bCs/>
          <w:i w:val="false"/>
          <w:iCs w:val="false"/>
          <w:color w:val="000000"/>
          <w:sz w:val="30"/>
          <w:szCs w:val="30"/>
        </w:rPr>
        <w:t xml:space="preserve">1. El Escenario</w:t>
      </w:r>
    </w:p>
    <w:p>
      <w:pPr>
        <w:spacing w:after="140" w:before="0" w:line="276"/>
      </w:pPr>
      <w:r>
        <w:rPr>
          <w:rFonts w:ascii="Calibri" w:cs="Calibri" w:eastAsia="Calibri" w:hAnsi="Calibri"/>
          <w:b w:val="false"/>
          <w:bCs w:val="false"/>
          <w:i w:val="false"/>
          <w:iCs w:val="false"/>
          <w:color w:val="000000"/>
          <w:sz w:val="21"/>
          <w:szCs w:val="21"/>
        </w:rPr>
        <w:t xml:space="preserve">El structuring, conocido en castellano como pitufeo, es la práctica de fraccionar una operación financiera grande en muchas operaciones pequeñas para evadir controles de reporte y sistemas de detección. Es una de las tipologías de lavado más documentadas por el GAFI y por FinCEN, y una de las más utilizadas, precisamente porque explota el punto ciego de los sistemas que operan transacción por transacción.</w:t>
      </w:r>
    </w:p>
    <w:p>
      <w:pPr>
        <w:spacing w:after="140" w:before="0" w:line="276"/>
      </w:pPr>
      <w:r>
        <w:rPr>
          <w:rFonts w:ascii="Calibri" w:cs="Calibri" w:eastAsia="Calibri" w:hAnsi="Calibri"/>
          <w:b w:val="false"/>
          <w:bCs w:val="false"/>
          <w:i w:val="false"/>
          <w:iCs w:val="false"/>
          <w:color w:val="000000"/>
          <w:sz w:val="21"/>
          <w:szCs w:val="21"/>
        </w:rPr>
        <w:t xml:space="preserve">El caso concreto es simple. Una wallet que quiere mover USD 100.000 sin activar controles no ejecuta una transacción de USD 100.000. Ejecuta 100 transacciones de USD 1.000 hacia la misma dirección destino. Cada una queda por debajo de cualquier umbral de reporte y parece un swap ordinario de bajo volumen. El protocolo recibe los USD 100.000 fragmentados sin que ningún control individual se active.</w:t>
      </w:r>
    </w:p>
    <w:tbl>
      <w:tblPr>
        <w:tblW w:type="dxa" w:w="9360"/>
        <w:tblBorders>
          <w:top w:val="single" w:color="8A97A8" w:sz="4"/>
          <w:left w:val="single" w:color="4A5568" w:sz="12"/>
          <w:bottom w:val="single" w:color="8A97A8" w:sz="4"/>
          <w:right w:val="single" w:color="8A97A8" w:sz="4"/>
          <w:insideH w:val="none"/>
          <w:insideV w:val="none"/>
        </w:tblBorders>
      </w:tblPr>
      <w:tblGrid>
        <w:gridCol w:w="9360"/>
      </w:tblGrid>
      <w:tr>
        <w:tc>
          <w:tcPr>
            <w:tcW w:type="dxa" w:w="9360"/>
            <w:shd w:fill="F7F9FC" w:color="auto" w:val="clear"/>
            <w:tcMar>
              <w:top w:type="dxa" w:w="120"/>
              <w:left w:type="dxa" w:w="160"/>
              <w:bottom w:type="dxa" w:w="120"/>
              <w:right w:type="dxa" w:w="160"/>
            </w:tcMar>
          </w:tcPr>
          <w:p>
            <w:pPr>
              <w:spacing w:after="0" w:line="276"/>
            </w:pPr>
            <w:r>
              <w:rPr>
                <w:rFonts w:ascii="Calibri" w:cs="Calibri" w:eastAsia="Calibri" w:hAnsi="Calibri"/>
                <w:b/>
                <w:bCs/>
                <w:i/>
                <w:iCs/>
                <w:color w:val="000000"/>
                <w:sz w:val="22"/>
                <w:szCs w:val="22"/>
              </w:rPr>
              <w:t xml:space="preserve">La señal no está en ninguna transacción individual. Está en el patrón. Sin memoria entre transacciones no hay compliance real, hay una ilusión de compliance.</w:t>
            </w:r>
          </w:p>
        </w:tc>
      </w:tr>
    </w:tbl>
    <w:p>
      <w:pPr>
        <w:spacing w:after="140" w:before="0" w:line="276"/>
      </w:pPr>
      <w:r>
        <w:rPr>
          <w:rFonts w:ascii="Calibri" w:cs="Calibri" w:eastAsia="Calibri" w:hAnsi="Calibri"/>
          <w:b w:val="false"/>
          <w:bCs w:val="false"/>
          <w:i w:val="false"/>
          <w:iCs w:val="false"/>
          <w:color w:val="000000"/>
          <w:sz w:val="21"/>
          <w:szCs w:val="21"/>
        </w:rPr>
        <w:t xml:space="preserve">El caso es central para AML Hook por tres razones. Es demostrable en testnet en tiempo real, porque el jurado puede ver el score subir swap a swap. Es la prueba más directa de la diferencia entre la verificación puntual de los competidores y el behavioral scoring acumulativo de AML Hook. Y tiene nombre, regulación específica y sanciones penales concretas, no es un caso teórico.</w:t>
      </w:r>
    </w:p>
    <w:p>
      <w:pPr>
        <w:spacing w:after="140" w:before="280"/>
      </w:pPr>
      <w:r>
        <w:rPr>
          <w:rFonts w:ascii="Calibri" w:cs="Calibri" w:eastAsia="Calibri" w:hAnsi="Calibri"/>
          <w:b/>
          <w:bCs/>
          <w:i w:val="false"/>
          <w:iCs w:val="false"/>
          <w:color w:val="000000"/>
          <w:sz w:val="30"/>
          <w:szCs w:val="30"/>
        </w:rPr>
        <w:t xml:space="preserve">2. Por Qué las Soluciones Existentes No lo Detectan</w:t>
      </w:r>
    </w:p>
    <w:p>
      <w:pPr>
        <w:spacing w:after="140" w:before="0" w:line="276"/>
      </w:pPr>
      <w:r>
        <w:rPr>
          <w:rFonts w:ascii="Calibri" w:cs="Calibri" w:eastAsia="Calibri" w:hAnsi="Calibri"/>
          <w:b/>
          <w:bCs/>
          <w:i w:val="false"/>
          <w:iCs w:val="false"/>
          <w:color w:val="000000"/>
          <w:sz w:val="21"/>
          <w:szCs w:val="21"/>
        </w:rPr>
        <w:t xml:space="preserve">PureFi. </w:t>
      </w:r>
      <w:r>
        <w:rPr>
          <w:rFonts w:ascii="Calibri" w:cs="Calibri" w:eastAsia="Calibri" w:hAnsi="Calibri"/>
          <w:b w:val="false"/>
          <w:bCs w:val="false"/>
          <w:i w:val="false"/>
          <w:iCs w:val="false"/>
          <w:color w:val="000000"/>
          <w:sz w:val="21"/>
          <w:szCs w:val="21"/>
        </w:rPr>
        <w:t xml:space="preserve">Responde una sola pregunta en el momento del swap: si la wallet tiene una credencial AML válida en ese instante. Opera solo en beforeSwap, no tiene afterSwap y no observa lo que ocurre después. No hay memoria entre transacciones, cada swap se evalúa de forma independiente. En los 15 minutos de validez de una credencial, una wallet ejecuta los 100 swaps y PureFi aprueba cada uno porque la credencial sigue vigente.</w:t>
      </w:r>
    </w:p>
    <w:p>
      <w:pPr>
        <w:spacing w:after="140" w:before="0" w:line="276"/>
      </w:pPr>
      <w:r>
        <w:rPr>
          <w:rFonts w:ascii="Calibri" w:cs="Calibri" w:eastAsia="Calibri" w:hAnsi="Calibri"/>
          <w:b/>
          <w:bCs/>
          <w:i w:val="false"/>
          <w:iCs w:val="false"/>
          <w:color w:val="000000"/>
          <w:sz w:val="21"/>
          <w:szCs w:val="21"/>
        </w:rPr>
        <w:t xml:space="preserve">Predicate. </w:t>
      </w:r>
      <w:r>
        <w:rPr>
          <w:rFonts w:ascii="Calibri" w:cs="Calibri" w:eastAsia="Calibri" w:hAnsi="Calibri"/>
          <w:b w:val="false"/>
          <w:bCs w:val="false"/>
          <w:i w:val="false"/>
          <w:iCs w:val="false"/>
          <w:color w:val="000000"/>
          <w:sz w:val="21"/>
          <w:szCs w:val="21"/>
        </w:rPr>
        <w:t xml:space="preserve">Verifica identidad y jurisdicción antes del swap, respondiendo si la wallet está en una lista de sanciones y si opera desde una jurisdicción bloqueada. El structuring es un problema de patrón de comportamiento, no de identidad. Predicate no construye perfiles acumulativos, de modo que una wallet con attestation válida ejecuta los 100 swaps y cada uno se aprueba porque su identidad no cambió.</w:t>
      </w:r>
    </w:p>
    <w:p>
      <w:pPr>
        <w:spacing w:after="140" w:before="0" w:line="276"/>
      </w:pPr>
      <w:r>
        <w:rPr>
          <w:rFonts w:ascii="Calibri" w:cs="Calibri" w:eastAsia="Calibri" w:hAnsi="Calibri"/>
          <w:b/>
          <w:bCs/>
          <w:i w:val="false"/>
          <w:iCs w:val="false"/>
          <w:color w:val="000000"/>
          <w:sz w:val="21"/>
          <w:szCs w:val="21"/>
        </w:rPr>
        <w:t xml:space="preserve">Permissioned Pools de Uniswap Labs. </w:t>
      </w:r>
      <w:r>
        <w:rPr>
          <w:rFonts w:ascii="Calibri" w:cs="Calibri" w:eastAsia="Calibri" w:hAnsi="Calibri"/>
          <w:b w:val="false"/>
          <w:bCs w:val="false"/>
          <w:i w:val="false"/>
          <w:iCs w:val="false"/>
          <w:color w:val="000000"/>
          <w:sz w:val="21"/>
          <w:szCs w:val="21"/>
        </w:rPr>
        <w:t xml:space="preserve">El emisor mantiene una allowlist on-chain y el hook verifica en cada swap si la dirección figura en ella. Una vez incorporada tras un proceso de verificación externo, la dirección opera sin restricción adicional. Los cien swaps se ejecutan íntegros, porque la única pregunta que el sistema formula es si la dirección está autorizada, y la respuesta es afirmativa las cien veces. No es una omisión, resuelve control de acceso, no monitoreo conductual. Son capas distintas del stack de compliance.</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2229"/>
        <w:gridCol w:w="1560"/>
        <w:gridCol w:w="1634"/>
        <w:gridCol w:w="1857"/>
        <w:gridCol w:w="2080"/>
      </w:tblGrid>
      <w:tr>
        <w:trPr>
          <w:tblHeader/>
        </w:trPr>
        <w:tc>
          <w:tcPr>
            <w:tcW w:type="dxa" w:w="2229"/>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Dimensión</w:t>
            </w:r>
          </w:p>
        </w:tc>
        <w:tc>
          <w:tcPr>
            <w:tcW w:type="dxa" w:w="1560"/>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PureFi</w:t>
            </w:r>
          </w:p>
        </w:tc>
        <w:tc>
          <w:tcPr>
            <w:tcW w:type="dxa" w:w="1634"/>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Predicate</w:t>
            </w:r>
          </w:p>
        </w:tc>
        <w:tc>
          <w:tcPr>
            <w:tcW w:type="dxa" w:w="1857"/>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Permissioned Pools</w:t>
            </w:r>
          </w:p>
        </w:tc>
        <w:tc>
          <w:tcPr>
            <w:tcW w:type="dxa" w:w="2080"/>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AML Hook</w:t>
            </w:r>
          </w:p>
        </w:tc>
      </w:tr>
      <w:tr>
        <w:tc>
          <w:tcPr>
            <w:tcW w:type="dxa" w:w="2229"/>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Qué verifica</w:t>
            </w:r>
          </w:p>
        </w:tc>
        <w:tc>
          <w:tcPr>
            <w:tcW w:type="dxa" w:w="156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Credencial AML puntual</w:t>
            </w:r>
          </w:p>
        </w:tc>
        <w:tc>
          <w:tcPr>
            <w:tcW w:type="dxa" w:w="163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Identidad y jurisdicción</w:t>
            </w:r>
          </w:p>
        </w:tc>
        <w:tc>
          <w:tcPr>
            <w:tcW w:type="dxa" w:w="1857"/>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Pertenencia a la allowlist</w:t>
            </w:r>
          </w:p>
        </w:tc>
        <w:tc>
          <w:tcPr>
            <w:tcW w:type="dxa" w:w="208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Patrón de comportamiento acumulativo</w:t>
            </w:r>
          </w:p>
        </w:tc>
      </w:tr>
      <w:tr>
        <w:tc>
          <w:tcPr>
            <w:tcW w:type="dxa" w:w="2229"/>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Memoria entre swaps</w:t>
            </w:r>
          </w:p>
        </w:tc>
        <w:tc>
          <w:tcPr>
            <w:tcW w:type="dxa" w:w="156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163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1857"/>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208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Sí, estado acumulativo on-chain</w:t>
            </w:r>
          </w:p>
        </w:tc>
      </w:tr>
      <w:tr>
        <w:tc>
          <w:tcPr>
            <w:tcW w:type="dxa" w:w="2229"/>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afterSwap</w:t>
            </w:r>
          </w:p>
        </w:tc>
        <w:tc>
          <w:tcPr>
            <w:tcW w:type="dxa" w:w="156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163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1857"/>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208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Sí</w:t>
            </w:r>
          </w:p>
        </w:tc>
      </w:tr>
      <w:tr>
        <w:tc>
          <w:tcPr>
            <w:tcW w:type="dxa" w:w="2229"/>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Detecta structuring</w:t>
            </w:r>
          </w:p>
        </w:tc>
        <w:tc>
          <w:tcPr>
            <w:tcW w:type="dxa" w:w="156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163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1857"/>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208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Sí</w:t>
            </w:r>
          </w:p>
        </w:tc>
      </w:tr>
      <w:tr>
        <w:tc>
          <w:tcPr>
            <w:tcW w:type="dxa" w:w="2229"/>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Respuesta graduada</w:t>
            </w:r>
          </w:p>
        </w:tc>
        <w:tc>
          <w:tcPr>
            <w:tcW w:type="dxa" w:w="156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 binario</w:t>
            </w:r>
          </w:p>
        </w:tc>
        <w:tc>
          <w:tcPr>
            <w:tcW w:type="dxa" w:w="163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 binario</w:t>
            </w:r>
          </w:p>
        </w:tc>
        <w:tc>
          <w:tcPr>
            <w:tcW w:type="dxa" w:w="1857"/>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 binario</w:t>
            </w:r>
          </w:p>
        </w:tc>
        <w:tc>
          <w:tcPr>
            <w:tcW w:type="dxa" w:w="208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Sí, fee diferencial o bloqueo</w:t>
            </w:r>
          </w:p>
        </w:tc>
      </w:tr>
      <w:tr>
        <w:tc>
          <w:tcPr>
            <w:tcW w:type="dxa" w:w="2229"/>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Depende de proveedor externo</w:t>
            </w:r>
          </w:p>
        </w:tc>
        <w:tc>
          <w:tcPr>
            <w:tcW w:type="dxa" w:w="156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Sí, AMLBot</w:t>
            </w:r>
          </w:p>
        </w:tc>
        <w:tc>
          <w:tcPr>
            <w:tcW w:type="dxa" w:w="163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Sí, red de operadores</w:t>
            </w:r>
          </w:p>
        </w:tc>
        <w:tc>
          <w:tcPr>
            <w:tcW w:type="dxa" w:w="1857"/>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Sí, el emisor</w:t>
            </w:r>
          </w:p>
        </w:tc>
        <w:tc>
          <w:tcPr>
            <w:tcW w:type="dxa" w:w="208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 para este caso</w:t>
            </w:r>
          </w:p>
        </w:tc>
      </w:tr>
    </w:tbl>
    <w:p>
      <w:pPr>
        <w:spacing w:after="140" w:before="280"/>
      </w:pPr>
      <w:r>
        <w:rPr>
          <w:rFonts w:ascii="Calibri" w:cs="Calibri" w:eastAsia="Calibri" w:hAnsi="Calibri"/>
          <w:b/>
          <w:bCs/>
          <w:i w:val="false"/>
          <w:iCs w:val="false"/>
          <w:color w:val="000000"/>
          <w:sz w:val="30"/>
          <w:szCs w:val="30"/>
        </w:rPr>
        <w:t xml:space="preserve">3. La Referencia de la Banca Tradicional</w:t>
      </w:r>
    </w:p>
    <w:p>
      <w:pPr>
        <w:spacing w:after="140" w:before="0" w:line="276"/>
      </w:pPr>
      <w:r>
        <w:rPr>
          <w:rFonts w:ascii="Calibri" w:cs="Calibri" w:eastAsia="Calibri" w:hAnsi="Calibri"/>
          <w:b w:val="false"/>
          <w:bCs w:val="false"/>
          <w:i w:val="false"/>
          <w:iCs w:val="false"/>
          <w:color w:val="000000"/>
          <w:sz w:val="21"/>
          <w:szCs w:val="21"/>
        </w:rPr>
        <w:t xml:space="preserve">Un banco sí detectaría este caso, y eso es central para el pitch. Los bancos usan Transaction Monitoring Systems como NICE Actimize y Oracle AML, que hacen exactamente lo que hace el behavioral scoring de AML Hook: observan patrones en el tiempo, no transacciones individuales. La regla estándar de structuring es directa: si una cuenta ejecuta más de N transacciones por debajo del umbral de reporte hacia el mismo beneficiario en X días, se genera una alerta automática. Es cumplimiento directo de la regulación FinCEN, donde el structuring está tipificado como delito federal con independencia del origen de los fondos.</w:t>
      </w:r>
    </w:p>
    <w:tbl>
      <w:tblPr>
        <w:tblW w:type="dxa" w:w="9360"/>
        <w:tblBorders>
          <w:top w:val="single" w:color="8A97A8" w:sz="4"/>
          <w:left w:val="single" w:color="4A5568" w:sz="12"/>
          <w:bottom w:val="single" w:color="8A97A8" w:sz="4"/>
          <w:right w:val="single" w:color="8A97A8" w:sz="4"/>
          <w:insideH w:val="none"/>
          <w:insideV w:val="none"/>
        </w:tblBorders>
      </w:tblPr>
      <w:tblGrid>
        <w:gridCol w:w="9360"/>
      </w:tblGrid>
      <w:tr>
        <w:tc>
          <w:tcPr>
            <w:tcW w:type="dxa" w:w="9360"/>
            <w:shd w:fill="F7F9FC" w:color="auto" w:val="clear"/>
            <w:tcMar>
              <w:top w:type="dxa" w:w="120"/>
              <w:left w:type="dxa" w:w="160"/>
              <w:bottom w:type="dxa" w:w="120"/>
              <w:right w:type="dxa" w:w="160"/>
            </w:tcMar>
          </w:tcPr>
          <w:p>
            <w:pPr>
              <w:spacing w:after="0" w:line="276"/>
            </w:pPr>
            <w:r>
              <w:rPr>
                <w:rFonts w:ascii="Calibri" w:cs="Calibri" w:eastAsia="Calibri" w:hAnsi="Calibri"/>
                <w:b/>
                <w:bCs/>
                <w:i/>
                <w:iCs/>
                <w:color w:val="000000"/>
                <w:sz w:val="22"/>
                <w:szCs w:val="22"/>
              </w:rPr>
              <w:t xml:space="preserve">AML Hook lleva a DeFi la lógica de detección que la banca usa hace 30 años, implementada en la capa de ejecución nativa del protocolo.</w:t>
            </w:r>
          </w:p>
        </w:tc>
      </w:tr>
    </w:tbl>
    <w:p>
      <w:pPr>
        <w:spacing w:after="140" w:before="280"/>
      </w:pPr>
      <w:r>
        <w:rPr>
          <w:rFonts w:ascii="Calibri" w:cs="Calibri" w:eastAsia="Calibri" w:hAnsi="Calibri"/>
          <w:b/>
          <w:bCs/>
          <w:i w:val="false"/>
          <w:iCs w:val="false"/>
          <w:color w:val="000000"/>
          <w:sz w:val="30"/>
          <w:szCs w:val="30"/>
        </w:rPr>
        <w:t xml:space="preserve">4. Marco Sancionatorio</w:t>
      </w:r>
    </w:p>
    <w:p>
      <w:pPr>
        <w:spacing w:after="140" w:before="0" w:line="276"/>
      </w:pPr>
      <w:r>
        <w:rPr>
          <w:rFonts w:ascii="Calibri" w:cs="Calibri" w:eastAsia="Calibri" w:hAnsi="Calibri"/>
          <w:b w:val="false"/>
          <w:bCs w:val="false"/>
          <w:i w:val="false"/>
          <w:iCs w:val="false"/>
          <w:color w:val="000000"/>
          <w:sz w:val="21"/>
          <w:szCs w:val="21"/>
        </w:rPr>
        <w:t xml:space="preserve">El structuring constituye un delito autónomo en la mayoría de las jurisdicciones, con independencia de si los fondos tienen origen ilícito. No hace falta probar lavado para sancionarlo: la conducta de fraccionar para evadir controles es el delito en sí mismo.</w:t>
      </w:r>
    </w:p>
    <w:p>
      <w:pPr>
        <w:spacing w:after="110" w:before="200"/>
      </w:pPr>
      <w:r>
        <w:rPr>
          <w:rFonts w:ascii="Calibri" w:cs="Calibri" w:eastAsia="Calibri" w:hAnsi="Calibri"/>
          <w:b/>
          <w:bCs/>
          <w:i w:val="false"/>
          <w:iCs w:val="false"/>
          <w:color w:val="000000"/>
          <w:sz w:val="24"/>
          <w:szCs w:val="24"/>
        </w:rPr>
        <w:t xml:space="preserve">Estados Unidos</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2184"/>
        <w:gridCol w:w="2340"/>
        <w:gridCol w:w="4836"/>
      </w:tblGrid>
      <w:tr>
        <w:trPr>
          <w:tblHeader/>
        </w:trPr>
        <w:tc>
          <w:tcPr>
            <w:tcW w:type="dxa" w:w="2184"/>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Marco</w:t>
            </w:r>
          </w:p>
        </w:tc>
        <w:tc>
          <w:tcPr>
            <w:tcW w:type="dxa" w:w="2340"/>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Disposición</w:t>
            </w:r>
          </w:p>
        </w:tc>
        <w:tc>
          <w:tcPr>
            <w:tcW w:type="dxa" w:w="4836"/>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Consecuencia</w:t>
            </w:r>
          </w:p>
        </w:tc>
      </w:tr>
      <w:tr>
        <w:tc>
          <w:tcPr>
            <w:tcW w:type="dxa" w:w="218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Bank Secrecy Act</w:t>
            </w:r>
          </w:p>
        </w:tc>
        <w:tc>
          <w:tcPr>
            <w:tcW w:type="dxa" w:w="234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31 U.S.C. § 5324</w:t>
            </w:r>
          </w:p>
        </w:tc>
        <w:tc>
          <w:tcPr>
            <w:tcW w:type="dxa" w:w="483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Hasta 5 años de prisión por structuring para evadir el CTR (Currency Transaction Report). Hasta 10 años si hay otro delito asociado.</w:t>
            </w:r>
          </w:p>
        </w:tc>
      </w:tr>
      <w:tr>
        <w:tc>
          <w:tcPr>
            <w:tcW w:type="dxa" w:w="218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Civil Forfeiture</w:t>
            </w:r>
          </w:p>
        </w:tc>
        <w:tc>
          <w:tcPr>
            <w:tcW w:type="dxa" w:w="234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Bienes utilizados o derivados</w:t>
            </w:r>
          </w:p>
        </w:tc>
        <w:tc>
          <w:tcPr>
            <w:tcW w:type="dxa" w:w="483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Decomiso civil de todos los fondos involucrados, sin necesidad de condena penal.</w:t>
            </w:r>
          </w:p>
        </w:tc>
      </w:tr>
      <w:tr>
        <w:tc>
          <w:tcPr>
            <w:tcW w:type="dxa" w:w="218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FinCEN Enforcement</w:t>
            </w:r>
          </w:p>
        </w:tc>
        <w:tc>
          <w:tcPr>
            <w:tcW w:type="dxa" w:w="234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Sanciones administrativas</w:t>
            </w:r>
          </w:p>
        </w:tc>
        <w:tc>
          <w:tcPr>
            <w:tcW w:type="dxa" w:w="483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Multas de hasta USD 1.000.000 por día de violación para instituciones que no reportan.</w:t>
            </w:r>
          </w:p>
        </w:tc>
      </w:tr>
      <w:tr>
        <w:tc>
          <w:tcPr>
            <w:tcW w:type="dxa" w:w="218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PATRIOT Act (Sec. 352)</w:t>
            </w:r>
          </w:p>
        </w:tc>
        <w:tc>
          <w:tcPr>
            <w:tcW w:type="dxa" w:w="234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Obligación de TMS</w:t>
            </w:r>
          </w:p>
        </w:tc>
        <w:tc>
          <w:tcPr>
            <w:tcW w:type="dxa" w:w="483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Las instituciones financieras están legalmente obligadas a implementar sistemas de detección de transacciones sospechosas.</w:t>
            </w:r>
          </w:p>
        </w:tc>
      </w:tr>
    </w:tbl>
    <w:p>
      <w:pPr>
        <w:spacing w:after="110" w:before="200"/>
      </w:pPr>
      <w:r>
        <w:rPr>
          <w:rFonts w:ascii="Calibri" w:cs="Calibri" w:eastAsia="Calibri" w:hAnsi="Calibri"/>
          <w:b/>
          <w:bCs/>
          <w:i w:val="false"/>
          <w:iCs w:val="false"/>
          <w:color w:val="000000"/>
          <w:sz w:val="24"/>
          <w:szCs w:val="24"/>
        </w:rPr>
        <w:t xml:space="preserve">Unión Europea</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2184"/>
        <w:gridCol w:w="2496"/>
        <w:gridCol w:w="4680"/>
      </w:tblGrid>
      <w:tr>
        <w:trPr>
          <w:tblHeader/>
        </w:trPr>
        <w:tc>
          <w:tcPr>
            <w:tcW w:type="dxa" w:w="2184"/>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Marco</w:t>
            </w:r>
          </w:p>
        </w:tc>
        <w:tc>
          <w:tcPr>
            <w:tcW w:type="dxa" w:w="2496"/>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Disposición</w:t>
            </w:r>
          </w:p>
        </w:tc>
        <w:tc>
          <w:tcPr>
            <w:tcW w:type="dxa" w:w="4680"/>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Consecuencia</w:t>
            </w:r>
          </w:p>
        </w:tc>
      </w:tr>
      <w:tr>
        <w:tc>
          <w:tcPr>
            <w:tcW w:type="dxa" w:w="218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6AMLD</w:t>
            </w:r>
          </w:p>
        </w:tc>
        <w:tc>
          <w:tcPr>
            <w:tcW w:type="dxa" w:w="249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Art. 3, lista de delitos subyacentes</w:t>
            </w:r>
          </w:p>
        </w:tc>
        <w:tc>
          <w:tcPr>
            <w:tcW w:type="dxa" w:w="468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El structuring es delito predicado del lavado. Penas de hasta 4 años de prisión para personas físicas.</w:t>
            </w:r>
          </w:p>
        </w:tc>
      </w:tr>
      <w:tr>
        <w:tc>
          <w:tcPr>
            <w:tcW w:type="dxa" w:w="218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MiCA (Reg. UE 2023/1114)</w:t>
            </w:r>
          </w:p>
        </w:tc>
        <w:tc>
          <w:tcPr>
            <w:tcW w:type="dxa" w:w="249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Art. 83, obligaciones CASP</w:t>
            </w:r>
          </w:p>
        </w:tc>
        <w:tc>
          <w:tcPr>
            <w:tcW w:type="dxa" w:w="468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Los proveedores de servicios de criptoactivos deben implementar controles AML equivalentes a los de instituciones tradicionales. Multas de hasta EUR 5.000.000 o 3% de la facturación anual.</w:t>
            </w:r>
          </w:p>
        </w:tc>
      </w:tr>
    </w:tbl>
    <w:p>
      <w:pPr>
        <w:spacing w:after="140" w:before="0" w:line="276"/>
      </w:pPr>
      <w:r>
        <w:rPr>
          <w:rFonts w:ascii="Calibri" w:cs="Calibri" w:eastAsia="Calibri" w:hAnsi="Calibri"/>
          <w:b w:val="false"/>
          <w:bCs w:val="false"/>
          <w:i w:val="false"/>
          <w:iCs w:val="false"/>
          <w:color w:val="000000"/>
          <w:sz w:val="21"/>
          <w:szCs w:val="21"/>
        </w:rPr>
        <w:t xml:space="preserve">Un protocolo sin detección de structuring habilita la conducta. En varias jurisdicciones, el operador que contaba con capacidad técnica de implementar controles y no lo hizo puede ver comprometida su posición por omisión de los deberes de monitoreo que el régimen le impone.</w:t>
      </w:r>
    </w:p>
    <w:p>
      <w:pPr>
        <w:spacing w:after="140" w:before="280"/>
      </w:pPr>
      <w:r>
        <w:rPr>
          <w:rFonts w:ascii="Calibri" w:cs="Calibri" w:eastAsia="Calibri" w:hAnsi="Calibri"/>
          <w:b/>
          <w:bCs/>
          <w:i w:val="false"/>
          <w:iCs w:val="false"/>
          <w:color w:val="000000"/>
          <w:sz w:val="30"/>
          <w:szCs w:val="30"/>
        </w:rPr>
        <w:t xml:space="preserve">5. Cómo AML Hook lo Detecta</w:t>
      </w:r>
    </w:p>
    <w:p>
      <w:pPr>
        <w:spacing w:after="140" w:before="0" w:line="276"/>
      </w:pPr>
      <w:r>
        <w:rPr>
          <w:rFonts w:ascii="Calibri" w:cs="Calibri" w:eastAsia="Calibri" w:hAnsi="Calibri"/>
          <w:b w:val="false"/>
          <w:bCs w:val="false"/>
          <w:i w:val="false"/>
          <w:iCs w:val="false"/>
          <w:color w:val="000000"/>
          <w:sz w:val="21"/>
          <w:szCs w:val="21"/>
        </w:rPr>
        <w:t xml:space="preserve">AML Hook opera en los dos momentos del ciclo de vida del swap. La detección de structuring es imposible sin afterSwap, porque requiere observar el resultado de cada transacción y acumular ese historial. El punto decisivo es dónde reside esa acumulación: en AML Hook reside en el storage del propio contrato, no en un servidor externo. El recorrido completo de la operación se desarrolla en la sección 3.9 del documento de producto.</w:t>
      </w:r>
    </w:p>
    <w:p>
      <w:pPr>
        <w:spacing w:after="140" w:before="0" w:line="276"/>
      </w:pPr>
      <w:r>
        <w:rPr>
          <w:rFonts w:ascii="Calibri" w:cs="Calibri" w:eastAsia="Calibri" w:hAnsi="Calibri"/>
          <w:b w:val="false"/>
          <w:bCs w:val="false"/>
          <w:i w:val="false"/>
          <w:iCs w:val="false"/>
          <w:color w:val="000000"/>
          <w:sz w:val="21"/>
          <w:szCs w:val="21"/>
        </w:rPr>
        <w:t xml:space="preserve">El fraccionamiento dentro de un mismo pool no requiere análisis de grafo ni consulta a proveedores de datos. Requiere memoria. El afterSwap incrementa, en la misma transacción del swap, un contador de operaciones por wallet junto con el monto acumulado y la marca temporal de la última operación. La actualización es inmediata y exacta: el swap número siete lee un contador que dice seis. No hay ventana de desactualización ni dependencia de terceros. Si el oracle externo dejara de responder, la detección de structuring seguiría funcionando sin degradación.</w:t>
      </w:r>
    </w:p>
    <w:p>
      <w:pPr>
        <w:spacing w:after="140" w:before="0" w:line="276"/>
      </w:pPr>
      <w:r>
        <w:rPr>
          <w:rFonts w:ascii="Calibri" w:cs="Calibri" w:eastAsia="Calibri" w:hAnsi="Calibri"/>
          <w:b w:val="false"/>
          <w:bCs w:val="false"/>
          <w:i w:val="false"/>
          <w:iCs w:val="false"/>
          <w:color w:val="000000"/>
          <w:sz w:val="21"/>
          <w:szCs w:val="21"/>
        </w:rPr>
        <w:t xml:space="preserve">El oracle conserva su función para lo que sí exige recorrer el blockchain hacia atrás, como el origen de los fondos, la exposición indirecta a mixers y la actividad de la wallet en otros protocolos. Para este caso de uso su aporte es complementario, no determinante.</w:t>
      </w:r>
    </w:p>
    <w:p>
      <w:pPr>
        <w:spacing w:after="110" w:before="200"/>
      </w:pPr>
      <w:r>
        <w:rPr>
          <w:rFonts w:ascii="Calibri" w:cs="Calibri" w:eastAsia="Calibri" w:hAnsi="Calibri"/>
          <w:b/>
          <w:bCs/>
          <w:i w:val="false"/>
          <w:iCs w:val="false"/>
          <w:color w:val="000000"/>
          <w:sz w:val="24"/>
          <w:szCs w:val="24"/>
        </w:rPr>
        <w:t xml:space="preserve">Las variables que el hook evalúa</w:t>
      </w:r>
    </w:p>
    <w:p>
      <w:pPr>
        <w:spacing w:after="140" w:before="0" w:line="276"/>
      </w:pPr>
      <w:r>
        <w:rPr>
          <w:rFonts w:ascii="Calibri" w:cs="Calibri" w:eastAsia="Calibri" w:hAnsi="Calibri"/>
          <w:b w:val="false"/>
          <w:bCs w:val="false"/>
          <w:i w:val="false"/>
          <w:iCs w:val="false"/>
          <w:color w:val="000000"/>
          <w:sz w:val="21"/>
          <w:szCs w:val="21"/>
        </w:rPr>
        <w:t xml:space="preserve">La detección no opera con una sola señal. El hook combina un conjunto de variables derivadas de su propio estado acumulado, todas computables dentro del contrato sin consulta externa. La frecuencia de operaciones en la ventana temporal vigente, es decir cuántas transacciones registró el contador para esa wallet dentro del período configurado. La uniformidad de montos, que revela si los importes son artificialmente homogéneos, porque un comportamiento económico ordinario no produce veinte operaciones de importe casi idéntico. La concentración de contraparte dentro del pool, donde la reiteración de una misma dirección de destino en alta frecuencia es una señal de peso. La proximidad a umbrales de reporte, cuando los montos se ubican de forma sistemática por debajo de valores de corte conocidos. Y la velocidad de acumulación, que relaciona el monto acumulado con el tiempo transcurrido desde la primera operación de la ventana.</w:t>
      </w:r>
    </w:p>
    <w:p>
      <w:pPr>
        <w:spacing w:after="140" w:before="280"/>
      </w:pPr>
      <w:r>
        <w:rPr>
          <w:rFonts w:ascii="Calibri" w:cs="Calibri" w:eastAsia="Calibri" w:hAnsi="Calibri"/>
          <w:b/>
          <w:bCs/>
          <w:i w:val="false"/>
          <w:iCs w:val="false"/>
          <w:color w:val="000000"/>
          <w:sz w:val="30"/>
          <w:szCs w:val="30"/>
        </w:rPr>
        <w:t xml:space="preserve">6. Lógica del Caso con AML Hook</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1221"/>
        <w:gridCol w:w="2306"/>
        <w:gridCol w:w="1763"/>
        <w:gridCol w:w="2306"/>
        <w:gridCol w:w="1763"/>
      </w:tblGrid>
      <w:tr>
        <w:trPr>
          <w:tblHeader/>
        </w:trPr>
        <w:tc>
          <w:tcPr>
            <w:tcW w:type="dxa" w:w="1221"/>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Swap</w:t>
            </w:r>
          </w:p>
        </w:tc>
        <w:tc>
          <w:tcPr>
            <w:tcW w:type="dxa" w:w="2306"/>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beforeSwap</w:t>
            </w:r>
          </w:p>
        </w:tc>
        <w:tc>
          <w:tcPr>
            <w:tcW w:type="dxa" w:w="1763"/>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Contador on-chain</w:t>
            </w:r>
          </w:p>
        </w:tc>
        <w:tc>
          <w:tcPr>
            <w:tcW w:type="dxa" w:w="2306"/>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afterSwap</w:t>
            </w:r>
          </w:p>
        </w:tc>
        <w:tc>
          <w:tcPr>
            <w:tcW w:type="dxa" w:w="1763"/>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Decisión</w:t>
            </w:r>
          </w:p>
        </w:tc>
      </w:tr>
      <w:tr>
        <w:tc>
          <w:tcPr>
            <w:tcW w:type="dxa" w:w="1221"/>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1 a 5</w:t>
            </w:r>
          </w:p>
        </w:tc>
        <w:tc>
          <w:tcPr>
            <w:tcW w:type="dxa" w:w="230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Wallet sin historial registrado</w:t>
            </w:r>
          </w:p>
        </w:tc>
        <w:tc>
          <w:tcPr>
            <w:tcW w:type="dxa" w:w="1763"/>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1 a 5 operaciones</w:t>
            </w:r>
          </w:p>
        </w:tc>
        <w:tc>
          <w:tcPr>
            <w:tcW w:type="dxa" w:w="230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Incrementa el contador y registra monto y marca temporal</w:t>
            </w:r>
          </w:p>
        </w:tc>
        <w:tc>
          <w:tcPr>
            <w:tcW w:type="dxa" w:w="1763"/>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Fee estándar</w:t>
            </w:r>
          </w:p>
        </w:tc>
      </w:tr>
      <w:tr>
        <w:tc>
          <w:tcPr>
            <w:tcW w:type="dxa" w:w="1221"/>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6 a 15</w:t>
            </w:r>
          </w:p>
        </w:tc>
        <w:tc>
          <w:tcPr>
            <w:tcW w:type="dxa" w:w="230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Lee el contador y detecta frecuencia y uniformidad de montos</w:t>
            </w:r>
          </w:p>
        </w:tc>
        <w:tc>
          <w:tcPr>
            <w:tcW w:type="dxa" w:w="1763"/>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6 a 15 operaciones</w:t>
            </w:r>
          </w:p>
        </w:tc>
        <w:tc>
          <w:tcPr>
            <w:tcW w:type="dxa" w:w="230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Actualiza el estado, el patrón se consolida</w:t>
            </w:r>
          </w:p>
        </w:tc>
        <w:tc>
          <w:tcPr>
            <w:tcW w:type="dxa" w:w="1763"/>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Fee estándar con evento de alerta</w:t>
            </w:r>
          </w:p>
        </w:tc>
      </w:tr>
      <w:tr>
        <w:tc>
          <w:tcPr>
            <w:tcW w:type="dxa" w:w="1221"/>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16 a 25</w:t>
            </w:r>
          </w:p>
        </w:tc>
        <w:tc>
          <w:tcPr>
            <w:tcW w:type="dxa" w:w="230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El contador supera el umbral de frecuencia configurado</w:t>
            </w:r>
          </w:p>
        </w:tc>
        <w:tc>
          <w:tcPr>
            <w:tcW w:type="dxa" w:w="1763"/>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16 a 25 operaciones</w:t>
            </w:r>
          </w:p>
        </w:tc>
        <w:tc>
          <w:tcPr>
            <w:tcW w:type="dxa" w:w="230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Actualiza y emite evento para monitoreo externo</w:t>
            </w:r>
          </w:p>
        </w:tc>
        <w:tc>
          <w:tcPr>
            <w:tcW w:type="dxa" w:w="1763"/>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Fee diferencial de 3x</w:t>
            </w:r>
          </w:p>
        </w:tc>
      </w:tr>
      <w:tr>
        <w:tc>
          <w:tcPr>
            <w:tcW w:type="dxa" w:w="1221"/>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26 en adelante</w:t>
            </w:r>
          </w:p>
        </w:tc>
        <w:tc>
          <w:tcPr>
            <w:tcW w:type="dxa" w:w="230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El estado acumulado supera el umbral de bloqueo</w:t>
            </w:r>
          </w:p>
        </w:tc>
        <w:tc>
          <w:tcPr>
            <w:tcW w:type="dxa" w:w="1763"/>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26 o más operaciones</w:t>
            </w:r>
          </w:p>
        </w:tc>
        <w:tc>
          <w:tcPr>
            <w:tcW w:type="dxa" w:w="230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 se ejecuta, la transacción revierte antes</w:t>
            </w:r>
          </w:p>
        </w:tc>
        <w:tc>
          <w:tcPr>
            <w:tcW w:type="dxa" w:w="1763"/>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Bloqueo con fundamento on-chain</w:t>
            </w:r>
          </w:p>
        </w:tc>
      </w:tr>
    </w:tbl>
    <w:p>
      <w:pPr>
        <w:spacing w:after="140" w:before="0" w:line="276"/>
      </w:pPr>
      <w:r>
        <w:rPr>
          <w:rFonts w:ascii="Calibri" w:cs="Calibri" w:eastAsia="Calibri" w:hAnsi="Calibri"/>
          <w:b w:val="false"/>
          <w:bCs w:val="false"/>
          <w:i w:val="false"/>
          <w:iCs w:val="false"/>
          <w:color w:val="000000"/>
          <w:sz w:val="21"/>
          <w:szCs w:val="21"/>
        </w:rPr>
        <w:t xml:space="preserve">beforeSwap verifica antes de ejecutar y afterSwap escribe el estado acumulado. Sin afterSwap no hay acumulación de historial, y sin historial no hay detección de patrones. Todos los competidores operan únicamente en beforeSwap, y por esa razón el structuring les resulta invisible.</w:t>
      </w:r>
    </w:p>
    <w:p>
      <w:pPr>
        <w:spacing w:after="110" w:before="200"/>
      </w:pPr>
      <w:r>
        <w:rPr>
          <w:rFonts w:ascii="Calibri" w:cs="Calibri" w:eastAsia="Calibri" w:hAnsi="Calibri"/>
          <w:b/>
          <w:bCs/>
          <w:i w:val="false"/>
          <w:iCs w:val="false"/>
          <w:color w:val="000000"/>
          <w:sz w:val="24"/>
          <w:szCs w:val="24"/>
        </w:rPr>
        <w:t xml:space="preserve">Lo que muestra el demo en testnet</w:t>
      </w:r>
    </w:p>
    <w:p>
      <w:pPr>
        <w:spacing w:after="140" w:before="0" w:line="276"/>
      </w:pPr>
      <w:r>
        <w:rPr>
          <w:rFonts w:ascii="Calibri" w:cs="Calibri" w:eastAsia="Calibri" w:hAnsi="Calibri"/>
          <w:b w:val="false"/>
          <w:bCs w:val="false"/>
          <w:i w:val="false"/>
          <w:iCs w:val="false"/>
          <w:color w:val="000000"/>
          <w:sz w:val="21"/>
          <w:szCs w:val="21"/>
        </w:rPr>
        <w:t xml:space="preserve">Una wallet de prueba ejecuta swaps sucesivos de USD 1.000 al mismo destino. El contador del contrato es visible en cada bloque, y el jurado observa su progresión operación por operación, sin intervalos de espera. Entre las operaciones 16 y 25 el hook comienza a aplicar el fee diferencial, y el cambio es visible en la ejecución. A partir de la operación 26 la transacción revierte, con el bloqueo y su fundamento registrados en el evento on-chain. No hace falta que el scoring sea perfecto, lo que importa es que las tres salidas, fee estándar, fee diferencial y bloqueo, funcionen y sean visibles.</w:t>
      </w:r>
    </w:p>
    <w:p>
      <w:pPr>
        <w:spacing w:after="140" w:before="280"/>
      </w:pPr>
      <w:r>
        <w:rPr>
          <w:rFonts w:ascii="Calibri" w:cs="Calibri" w:eastAsia="Calibri" w:hAnsi="Calibri"/>
          <w:b/>
          <w:bCs/>
          <w:i w:val="false"/>
          <w:iCs w:val="false"/>
          <w:color w:val="000000"/>
          <w:sz w:val="30"/>
          <w:szCs w:val="30"/>
        </w:rPr>
        <w:t xml:space="preserve">7. Normativa que se Cumple</w:t>
      </w:r>
    </w:p>
    <w:p>
      <w:pPr>
        <w:spacing w:after="110" w:before="200"/>
      </w:pPr>
      <w:r>
        <w:rPr>
          <w:rFonts w:ascii="Calibri" w:cs="Calibri" w:eastAsia="Calibri" w:hAnsi="Calibri"/>
          <w:b/>
          <w:bCs/>
          <w:i w:val="false"/>
          <w:iCs w:val="false"/>
          <w:color w:val="000000"/>
          <w:sz w:val="24"/>
          <w:szCs w:val="24"/>
        </w:rPr>
        <w:t xml:space="preserve">GAFI</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2340"/>
        <w:gridCol w:w="3276"/>
        <w:gridCol w:w="3744"/>
      </w:tblGrid>
      <w:tr>
        <w:trPr>
          <w:tblHeader/>
        </w:trPr>
        <w:tc>
          <w:tcPr>
            <w:tcW w:type="dxa" w:w="2340"/>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Recomendación</w:t>
            </w:r>
          </w:p>
        </w:tc>
        <w:tc>
          <w:tcPr>
            <w:tcW w:type="dxa" w:w="3276"/>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Obligación</w:t>
            </w:r>
          </w:p>
        </w:tc>
        <w:tc>
          <w:tcPr>
            <w:tcW w:type="dxa" w:w="3744"/>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Cómo la satisface AML Hook</w:t>
            </w:r>
          </w:p>
        </w:tc>
      </w:tr>
      <w:tr>
        <w:tc>
          <w:tcPr>
            <w:tcW w:type="dxa" w:w="234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Rec. 10, Debida Diligencia Continua</w:t>
            </w:r>
          </w:p>
        </w:tc>
        <w:tc>
          <w:tcPr>
            <w:tcW w:type="dxa" w:w="327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La DDC es un proceso continuo durante la relación comercial. El obligado debe monitorear transacciones para detectar patrones inusuales.</w:t>
            </w:r>
          </w:p>
        </w:tc>
        <w:tc>
          <w:tcPr>
            <w:tcW w:type="dxa" w:w="374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El afterSwap actualiza el perfil de riesgo de cada wallet en cada swap. La DDC es continua por diseño, es parte del swap mismo.</w:t>
            </w:r>
          </w:p>
        </w:tc>
      </w:tr>
      <w:tr>
        <w:tc>
          <w:tcPr>
            <w:tcW w:type="dxa" w:w="234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Rec. 20, Reporte de Operaciones Sospechosas</w:t>
            </w:r>
          </w:p>
        </w:tc>
        <w:tc>
          <w:tcPr>
            <w:tcW w:type="dxa" w:w="327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Obligación de reportar operaciones sospechosas basada en sospecha razonable, no en certeza.</w:t>
            </w:r>
          </w:p>
        </w:tc>
        <w:tc>
          <w:tcPr>
            <w:tcW w:type="dxa" w:w="374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El evento emitido en el afterSwap cuando el estado acumulado supera el umbral es el disparador automático de la revisión. El registro inmutable documenta qué se detectó, cuándo y qué acción se adoptó. La elaboración del reporte corresponde al Compliance Officer Agent de la sección 9.5 del documento de producto.</w:t>
            </w:r>
          </w:p>
        </w:tc>
      </w:tr>
      <w:tr>
        <w:tc>
          <w:tcPr>
            <w:tcW w:type="dxa" w:w="234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Rec. 3 / Rec. 15, Activos Virtuales</w:t>
            </w:r>
          </w:p>
        </w:tc>
        <w:tc>
          <w:tcPr>
            <w:tcW w:type="dxa" w:w="327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Los VASPs deben implementar medidas AML/CFT equivalentes a las de instituciones tradicionales, incluyendo monitoreo de transacciones.</w:t>
            </w:r>
          </w:p>
        </w:tc>
        <w:tc>
          <w:tcPr>
            <w:tcW w:type="dxa" w:w="374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AML Hook implementa Transaction Monitoring nativo en el protocolo, el equivalente on-chain de los TMS bancarios.</w:t>
            </w:r>
          </w:p>
        </w:tc>
      </w:tr>
    </w:tbl>
    <w:p>
      <w:pPr>
        <w:spacing w:after="110" w:before="200"/>
      </w:pPr>
      <w:r>
        <w:rPr>
          <w:rFonts w:ascii="Calibri" w:cs="Calibri" w:eastAsia="Calibri" w:hAnsi="Calibri"/>
          <w:b/>
          <w:bCs/>
          <w:i w:val="false"/>
          <w:iCs w:val="false"/>
          <w:color w:val="000000"/>
          <w:sz w:val="24"/>
          <w:szCs w:val="24"/>
        </w:rPr>
        <w:t xml:space="preserve">FinCEN, Bank Secrecy Act</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2340"/>
        <w:gridCol w:w="3276"/>
        <w:gridCol w:w="3744"/>
      </w:tblGrid>
      <w:tr>
        <w:trPr>
          <w:tblHeader/>
        </w:trPr>
        <w:tc>
          <w:tcPr>
            <w:tcW w:type="dxa" w:w="2340"/>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Obligación</w:t>
            </w:r>
          </w:p>
        </w:tc>
        <w:tc>
          <w:tcPr>
            <w:tcW w:type="dxa" w:w="3276"/>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Requerimiento</w:t>
            </w:r>
          </w:p>
        </w:tc>
        <w:tc>
          <w:tcPr>
            <w:tcW w:type="dxa" w:w="3744"/>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Cómo la satisface AML Hook</w:t>
            </w:r>
          </w:p>
        </w:tc>
      </w:tr>
      <w:tr>
        <w:tc>
          <w:tcPr>
            <w:tcW w:type="dxa" w:w="234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Currency Transaction Report</w:t>
            </w:r>
          </w:p>
        </w:tc>
        <w:tc>
          <w:tcPr>
            <w:tcW w:type="dxa" w:w="327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Reporte de transacciones en efectivo mayores a USD 10.000. El structuring debajo de ese umbral para evadir el CTR es delito federal.</w:t>
            </w:r>
          </w:p>
        </w:tc>
        <w:tc>
          <w:tcPr>
            <w:tcW w:type="dxa" w:w="374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El contador acumula el monto de operaciones que individualmente quedan por debajo del umbral y en conjunto lo superan hacia el mismo destino, y emite la alerta dentro de la misma transacción que cruza el umbral.</w:t>
            </w:r>
          </w:p>
        </w:tc>
      </w:tr>
      <w:tr>
        <w:tc>
          <w:tcPr>
            <w:tcW w:type="dxa" w:w="234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Suspicious Activity Report</w:t>
            </w:r>
          </w:p>
        </w:tc>
        <w:tc>
          <w:tcPr>
            <w:tcW w:type="dxa" w:w="327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Reporte de actividad sospechosa cuando hay sospecha razonable de origen ilícito o de evasión de un requerimiento de reporte.</w:t>
            </w:r>
          </w:p>
        </w:tc>
        <w:tc>
          <w:tcPr>
            <w:tcW w:type="dxa" w:w="374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El evento on-chain documenta qué actividad se observó, cuándo y qué acción se adoptó. La fundamentación de la sospecha, con identificación de tipología y razonamiento, corresponde a la capa de análisis de la sección 9.5. El registro on-chain es la evidencia sobre la que ese análisis se construye.</w:t>
            </w:r>
          </w:p>
        </w:tc>
      </w:tr>
      <w:tr>
        <w:tc>
          <w:tcPr>
            <w:tcW w:type="dxa" w:w="234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Program Rule (31 CFR 1020)</w:t>
            </w:r>
          </w:p>
        </w:tc>
        <w:tc>
          <w:tcPr>
            <w:tcW w:type="dxa" w:w="327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Las instituciones deben implementar un programa AML escrito con procedimientos razonablemente diseñados para detectar structuring.</w:t>
            </w:r>
          </w:p>
        </w:tc>
        <w:tc>
          <w:tcPr>
            <w:tcW w:type="dxa" w:w="374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La lógica de AML Hook constituye un programa razonablemente diseñado: umbrales documentados, lógica publicada y verificable en el código del contrato, y registro inmutable de cada decisión.</w:t>
            </w:r>
          </w:p>
        </w:tc>
      </w:tr>
    </w:tbl>
    <w:p>
      <w:pPr>
        <w:spacing w:after="140" w:before="280"/>
      </w:pPr>
      <w:r>
        <w:rPr>
          <w:rFonts w:ascii="Calibri" w:cs="Calibri" w:eastAsia="Calibri" w:hAnsi="Calibri"/>
          <w:b/>
          <w:bCs/>
          <w:i w:val="false"/>
          <w:iCs w:val="false"/>
          <w:color w:val="000000"/>
          <w:sz w:val="30"/>
          <w:szCs w:val="30"/>
        </w:rPr>
        <w:t xml:space="preserve">8. Por Qué Este Caso Gana el Hackathon</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2184"/>
        <w:gridCol w:w="7176"/>
      </w:tblGrid>
      <w:tr>
        <w:trPr>
          <w:tblHeader/>
        </w:trPr>
        <w:tc>
          <w:tcPr>
            <w:tcW w:type="dxa" w:w="2184"/>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Dimensión</w:t>
            </w:r>
          </w:p>
        </w:tc>
        <w:tc>
          <w:tcPr>
            <w:tcW w:type="dxa" w:w="7176"/>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Contenido</w:t>
            </w:r>
          </w:p>
        </w:tc>
      </w:tr>
      <w:tr>
        <w:tc>
          <w:tcPr>
            <w:tcW w:type="dxa" w:w="218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El problema</w:t>
            </w:r>
          </w:p>
        </w:tc>
        <w:tc>
          <w:tcPr>
            <w:tcW w:type="dxa" w:w="717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Hay USD 25.000 millones en RWAs que no circulan en DeFi por falta de compliance accesible. El structuring es la tipología que mejor ilustra ese vacío.</w:t>
            </w:r>
          </w:p>
        </w:tc>
      </w:tr>
      <w:tr>
        <w:tc>
          <w:tcPr>
            <w:tcW w:type="dxa" w:w="218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La solución</w:t>
            </w:r>
          </w:p>
        </w:tc>
        <w:tc>
          <w:tcPr>
            <w:tcW w:type="dxa" w:w="717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Transaction Monitoring nativo en la capa de ejecución, el equivalente on-chain de los TMS que la banca usa hace 30 años.</w:t>
            </w:r>
          </w:p>
        </w:tc>
      </w:tr>
      <w:tr>
        <w:tc>
          <w:tcPr>
            <w:tcW w:type="dxa" w:w="218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La diferenciación</w:t>
            </w:r>
          </w:p>
        </w:tc>
        <w:tc>
          <w:tcPr>
            <w:tcW w:type="dxa" w:w="717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Predicate y PureFi verifican identidad en un momento puntual. AML Hook monitorea comportamiento en el tiempo. El structuring es invisible para los primeros y es exactamente lo que detecta el segundo.</w:t>
            </w:r>
          </w:p>
        </w:tc>
      </w:tr>
      <w:tr>
        <w:tc>
          <w:tcPr>
            <w:tcW w:type="dxa" w:w="218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El mercado</w:t>
            </w:r>
          </w:p>
        </w:tc>
        <w:tc>
          <w:tcPr>
            <w:tcW w:type="dxa" w:w="717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Los protocolos mid-market como Centrifuge, Goldfinch, Maple y Clearpool, que necesitan compliance pero no tienen acceso a Predicate ni el presupuesto de Paxos.</w:t>
            </w:r>
          </w:p>
        </w:tc>
      </w:tr>
      <w:tr>
        <w:tc>
          <w:tcPr>
            <w:tcW w:type="dxa" w:w="218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El demo</w:t>
            </w:r>
          </w:p>
        </w:tc>
        <w:tc>
          <w:tcPr>
            <w:tcW w:type="dxa" w:w="717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Score que sube en vivo, fee diferencial visible, bloqueo demostrable. Tres salidas, una wallet, testnet.</w:t>
            </w:r>
          </w:p>
        </w:tc>
      </w:tr>
    </w:tbl>
    <w:p>
      <w:pPr>
        <w:spacing w:after="140" w:before="280"/>
      </w:pPr>
      <w:r>
        <w:rPr>
          <w:rFonts w:ascii="Calibri" w:cs="Calibri" w:eastAsia="Calibri" w:hAnsi="Calibri"/>
          <w:b/>
          <w:bCs/>
          <w:i w:val="false"/>
          <w:iCs w:val="false"/>
          <w:color w:val="000000"/>
          <w:sz w:val="30"/>
          <w:szCs w:val="30"/>
        </w:rPr>
        <w:t xml:space="preserve">9. El Límite Declarado del Prototipo</w:t>
      </w:r>
    </w:p>
    <w:p>
      <w:pPr>
        <w:spacing w:after="140" w:before="0" w:line="276"/>
      </w:pPr>
      <w:r>
        <w:rPr>
          <w:rFonts w:ascii="Calibri" w:cs="Calibri" w:eastAsia="Calibri" w:hAnsi="Calibri"/>
          <w:b w:val="false"/>
          <w:bCs w:val="false"/>
          <w:i w:val="false"/>
          <w:iCs w:val="false"/>
          <w:color w:val="000000"/>
          <w:sz w:val="21"/>
          <w:szCs w:val="21"/>
        </w:rPr>
        <w:t xml:space="preserve">El contador on-chain observa lo que ocurre dentro de su propio pool. Una operación de fraccionamiento distribuida entre varios pools distintos registraría veinte operaciones en cada uno, sin alcanzar el umbral en ninguno. Ese escenario, conocido como smurfing coordinado, requiere visión externa, ya sea un oracle con análisis de grafo o un registro compartido entre los pools que adopten el hook. Es una extensión arquitectónica prevista, no una funcionalidad del prototipo. Declararlo con precisión es preferible a sostener una cobertura que el sistema no tiene, y no debilita el caso: el fraccionamiento dentro de un mismo pool es la modalidad documentada del structuring y es la que ninguna solución existente detecta hoy.</w:t>
      </w:r>
    </w:p>
    <w:tbl>
      <w:tblPr>
        <w:tblW w:type="dxa" w:w="9360"/>
        <w:tblBorders>
          <w:top w:val="single" w:color="8A97A8" w:sz="4"/>
          <w:left w:val="single" w:color="4A5568" w:sz="12"/>
          <w:bottom w:val="single" w:color="8A97A8" w:sz="4"/>
          <w:right w:val="single" w:color="8A97A8" w:sz="4"/>
          <w:insideH w:val="none"/>
          <w:insideV w:val="none"/>
        </w:tblBorders>
      </w:tblPr>
      <w:tblGrid>
        <w:gridCol w:w="9360"/>
      </w:tblGrid>
      <w:tr>
        <w:tc>
          <w:tcPr>
            <w:tcW w:type="dxa" w:w="9360"/>
            <w:shd w:fill="F7F9FC" w:color="auto" w:val="clear"/>
            <w:tcMar>
              <w:top w:type="dxa" w:w="120"/>
              <w:left w:type="dxa" w:w="160"/>
              <w:bottom w:type="dxa" w:w="120"/>
              <w:right w:type="dxa" w:w="160"/>
            </w:tcMar>
          </w:tcPr>
          <w:p>
            <w:pPr>
              <w:spacing w:after="0" w:line="276"/>
            </w:pPr>
            <w:r>
              <w:rPr>
                <w:rFonts w:ascii="Calibri" w:cs="Calibri" w:eastAsia="Calibri" w:hAnsi="Calibri"/>
                <w:b/>
                <w:bCs/>
                <w:i/>
                <w:iCs/>
                <w:color w:val="000000"/>
                <w:sz w:val="22"/>
                <w:szCs w:val="22"/>
              </w:rPr>
              <w:t xml:space="preserve">Los bancos detectan structuring hace 30 años con Transaction Monitoring Systems. PureFi y Predicate no lo detectan porque verifican identidad en un momento puntual, no comportamiento en el tiempo. AML Hook es el primero en llevar la lógica de un TMS bancario a la capa de ejecución nativa de DeFi.</w:t>
            </w:r>
          </w:p>
        </w:tc>
      </w:tr>
    </w:tbl>
    <w:p>
      <w:pPr>
        <w:pBdr>
          <w:top w:val="single" w:color="CCCCCC" w:sz="4" w:space="6"/>
        </w:pBdr>
        <w:spacing w:after="0" w:before="280"/>
      </w:pPr>
      <w:r>
        <w:rPr>
          <w:rFonts w:ascii="Calibri" w:cs="Calibri" w:eastAsia="Calibri" w:hAnsi="Calibri"/>
          <w:b w:val="false"/>
          <w:bCs w:val="false"/>
          <w:i w:val="false"/>
          <w:iCs w:val="false"/>
          <w:color w:val="666666"/>
          <w:sz w:val="18"/>
          <w:szCs w:val="18"/>
        </w:rPr>
        <w:t xml:space="preserve">AML Hook. Caso de Uso, Detección de Structuring. Julio 2026</w:t>
      </w:r>
    </w:p>
    <w:p>
      <w:pPr>
        <w:spacing w:after="0"/>
      </w:pPr>
      <w:r>
        <w:rPr>
          <w:rFonts w:ascii="Calibri" w:cs="Calibri" w:eastAsia="Calibri" w:hAnsi="Calibri"/>
          <w:b w:val="false"/>
          <w:bCs w:val="false"/>
          <w:i w:val="false"/>
          <w:iCs w:val="false"/>
          <w:color w:val="666666"/>
          <w:sz w:val="18"/>
          <w:szCs w:val="18"/>
        </w:rPr>
        <w:t xml:space="preserve">Gonzalo Emanuel Heredia. Uniswap Hook Incubator, Cohort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2026-07-25T20:09:03.797Z</dcterms:created>
  <dcterms:modified xsi:type="dcterms:W3CDTF">2026-07-25T20:09:03.810Z</dcterms:modified>
</cp:coreProperties>
</file>

<file path=docProps/custom.xml><?xml version="1.0" encoding="utf-8"?>
<Properties xmlns="http://schemas.openxmlformats.org/officeDocument/2006/custom-properties" xmlns:vt="http://schemas.openxmlformats.org/officeDocument/2006/docPropsVTypes"/>
</file>