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pPr>
      <w:r>
        <w:rPr>
          <w:rFonts w:ascii="Calibri" w:cs="Calibri" w:eastAsia="Calibri" w:hAnsi="Calibri"/>
          <w:b/>
          <w:bCs/>
          <w:i w:val="false"/>
          <w:iCs w:val="false"/>
          <w:color w:val="000000"/>
          <w:sz w:val="56"/>
          <w:szCs w:val="56"/>
        </w:rPr>
        <w:t xml:space="preserve">AML HOOK</w:t>
      </w:r>
    </w:p>
    <w:p>
      <w:pPr>
        <w:spacing w:after="60"/>
      </w:pPr>
      <w:r>
        <w:rPr>
          <w:rFonts w:ascii="Calibri" w:cs="Calibri" w:eastAsia="Calibri" w:hAnsi="Calibri"/>
          <w:b w:val="false"/>
          <w:bCs w:val="false"/>
          <w:i/>
          <w:iCs/>
          <w:color w:val="444444"/>
          <w:sz w:val="26"/>
          <w:szCs w:val="26"/>
        </w:rPr>
        <w:t xml:space="preserve">Modular Compliance Layer for Uniswap v4</w:t>
      </w:r>
    </w:p>
    <w:p>
      <w:pPr>
        <w:spacing w:after="140" w:before="0" w:line="276"/>
      </w:pPr>
      <w:r>
        <w:rPr>
          <w:rFonts w:ascii="Calibri" w:cs="Calibri" w:eastAsia="Calibri" w:hAnsi="Calibri"/>
          <w:b w:val="false"/>
          <w:bCs w:val="false"/>
          <w:i w:val="false"/>
          <w:iCs w:val="false"/>
          <w:color w:val="444444"/>
          <w:sz w:val="22"/>
          <w:szCs w:val="22"/>
        </w:rPr>
        <w:t xml:space="preserve">Documento de Producto. Versión 3.0</w:t>
      </w:r>
    </w:p>
    <w:p>
      <w:pPr>
        <w:spacing w:after="140" w:before="0" w:line="276"/>
      </w:pPr>
      <w:r>
        <w:rPr>
          <w:rFonts w:ascii="Calibri" w:cs="Calibri" w:eastAsia="Calibri" w:hAnsi="Calibri"/>
          <w:b w:val="false"/>
          <w:bCs w:val="false"/>
          <w:i w:val="false"/>
          <w:iCs w:val="false"/>
          <w:color w:val="000000"/>
          <w:sz w:val="22"/>
          <w:szCs w:val="22"/>
        </w:rPr>
        <w:t xml:space="preserve">Gonzalo Emanuel Heredia</w:t>
      </w:r>
    </w:p>
    <w:p>
      <w:pPr>
        <w:spacing w:after="200" w:before="0" w:line="276"/>
      </w:pPr>
      <w:r>
        <w:rPr>
          <w:rFonts w:ascii="Calibri" w:cs="Calibri" w:eastAsia="Calibri" w:hAnsi="Calibri"/>
          <w:b w:val="false"/>
          <w:bCs w:val="false"/>
          <w:i w:val="false"/>
          <w:iCs w:val="false"/>
          <w:color w:val="444444"/>
          <w:sz w:val="22"/>
          <w:szCs w:val="22"/>
        </w:rPr>
        <w:t xml:space="preserve">Uniswap Hook Incubator, Cohort 10 (UHI10). Julio 2026</w:t>
      </w:r>
    </w:p>
    <w:p>
      <w:pPr>
        <w:spacing w:after="140" w:before="280"/>
      </w:pPr>
      <w:r>
        <w:rPr>
          <w:rFonts w:ascii="Calibri" w:cs="Calibri" w:eastAsia="Calibri" w:hAnsi="Calibri"/>
          <w:b/>
          <w:bCs/>
          <w:i w:val="false"/>
          <w:iCs w:val="false"/>
          <w:color w:val="000000"/>
          <w:sz w:val="30"/>
          <w:szCs w:val="30"/>
        </w:rPr>
        <w:t xml:space="preserve">1. El Problema</w:t>
      </w:r>
    </w:p>
    <w:p>
      <w:pPr>
        <w:spacing w:after="140" w:before="0" w:line="276"/>
      </w:pPr>
      <w:r>
        <w:rPr>
          <w:rFonts w:ascii="Calibri" w:cs="Calibri" w:eastAsia="Calibri" w:hAnsi="Calibri"/>
          <w:b w:val="false"/>
          <w:bCs w:val="false"/>
          <w:i w:val="false"/>
          <w:iCs w:val="false"/>
          <w:color w:val="000000"/>
          <w:sz w:val="21"/>
          <w:szCs w:val="21"/>
        </w:rPr>
        <w:t xml:space="preserve">DeFi tiene un problema estructural: no sabe quién está operando en sus pools ni cómo se comportó antes. Cualquier dirección puede swapear con cualquier otra, sin que nadie registre qué pasó ni por qué. No hay control de sanciones, trazabilidad regulatoria ni historial de comportamiento que distinga a un actor legítimo de uno ilícito.</w:t>
      </w:r>
    </w:p>
    <w:p>
      <w:pPr>
        <w:spacing w:after="140" w:before="0" w:line="276"/>
      </w:pPr>
      <w:r>
        <w:rPr>
          <w:rFonts w:ascii="Calibri" w:cs="Calibri" w:eastAsia="Calibri" w:hAnsi="Calibri"/>
          <w:b w:val="false"/>
          <w:bCs w:val="false"/>
          <w:i w:val="false"/>
          <w:iCs w:val="false"/>
          <w:color w:val="000000"/>
          <w:sz w:val="21"/>
          <w:szCs w:val="21"/>
        </w:rPr>
        <w:t xml:space="preserve">En Web2, la reputación de un actor financiero se construye con el tiempo, con historial crediticio, patrones de transacción y relaciones con contrapartes conocidas. Esa reputación determina las condiciones en las que opera. En DeFi, cada wallet empieza desde cero en cada swap, sin memoria ni consecuencias acumuladas. No hay diferencia entre una wallet con diez años de historial limpio y una creada hace cinco minutos.</w:t>
      </w:r>
    </w:p>
    <w:p>
      <w:pPr>
        <w:spacing w:after="140" w:before="0" w:line="276"/>
      </w:pPr>
      <w:r>
        <w:rPr>
          <w:rFonts w:ascii="Calibri" w:cs="Calibri" w:eastAsia="Calibri" w:hAnsi="Calibri"/>
          <w:b w:val="false"/>
          <w:bCs w:val="false"/>
          <w:i w:val="false"/>
          <w:iCs w:val="false"/>
          <w:color w:val="000000"/>
          <w:sz w:val="21"/>
          <w:szCs w:val="21"/>
        </w:rPr>
        <w:t xml:space="preserve">Para el mundo retail esto no importa. Para el mundo institucional es un bloqueador absoluto. Un fondo regulado como BlackRock BUIDL, un market maker como Wintermute o un protocolo europeo bajo MiCA no puede operar en un entorno donde no se pueda demostrar que sus contrapartes cumplen con obligaciones de debida diligencia. Los reguladores que los controlan se lo exigen. No es una elección menor, es una condición de existencia.</w:t>
      </w:r>
    </w:p>
    <w:p>
      <w:pPr>
        <w:spacing w:after="140" w:before="0" w:line="276"/>
      </w:pPr>
      <w:r>
        <w:rPr>
          <w:rFonts w:ascii="Calibri" w:cs="Calibri" w:eastAsia="Calibri" w:hAnsi="Calibri"/>
          <w:b w:val="false"/>
          <w:bCs w:val="false"/>
          <w:i w:val="false"/>
          <w:iCs w:val="false"/>
          <w:color w:val="000000"/>
          <w:sz w:val="21"/>
          <w:szCs w:val="21"/>
        </w:rPr>
        <w:t xml:space="preserve">Conviene precisar la magnitud del planteo. Desde afuera suele verse una lucha entre liquidez y cumplimiento. Los que llevamos años en compliance sabemos que la tensión real es entre liquidez controlada y liquidez sin control. No hablamos de encarecer un sistema ni de bloquear transacciones, hablamos de habilitar un mayor ingreso de fondos.</w:t>
      </w:r>
    </w:p>
    <w:p>
      <w:pPr>
        <w:spacing w:after="140" w:before="0" w:line="276"/>
      </w:pPr>
      <w:r>
        <w:rPr>
          <w:rFonts w:ascii="Calibri" w:cs="Calibri" w:eastAsia="Calibri" w:hAnsi="Calibri"/>
          <w:b w:val="false"/>
          <w:bCs w:val="false"/>
          <w:i w:val="false"/>
          <w:iCs w:val="false"/>
          <w:color w:val="000000"/>
          <w:sz w:val="21"/>
          <w:szCs w:val="21"/>
        </w:rPr>
        <w:t xml:space="preserve">Las instituciones abandonan DeFi porque no pueden distinguir la liquidez limpia de la que no lo es. El resultado es que </w:t>
      </w:r>
      <w:hyperlink w:history="1" r:id="rIdqwwxu1hlihuu5u-wwpmb2">
        <w:r>
          <w:rPr>
            <w:rStyle w:val="Hyperlink"/>
            <w:rFonts w:ascii="Calibri" w:cs="Calibri" w:eastAsia="Calibri" w:hAnsi="Calibri"/>
            <w:sz w:val="21"/>
            <w:szCs w:val="21"/>
          </w:rPr>
          <w:t xml:space="preserve">hay USD 25.000 millones en RWAs on-chain que no circulan en DeFi</w:t>
        </w:r>
      </w:hyperlink>
      <w:r>
        <w:rPr>
          <w:rFonts w:ascii="Calibri" w:cs="Calibri" w:eastAsia="Calibri" w:hAnsi="Calibri"/>
          <w:b w:val="false"/>
          <w:bCs w:val="false"/>
          <w:i w:val="false"/>
          <w:iCs w:val="false"/>
          <w:color w:val="000000"/>
          <w:sz w:val="21"/>
          <w:szCs w:val="21"/>
        </w:rPr>
        <w:t xml:space="preserve">. Falta la capa que habilite a las instituciones a participar con certeza regulatoria.</w:t>
      </w:r>
    </w:p>
    <w:p>
      <w:pPr>
        <w:spacing w:after="120" w:before="220"/>
      </w:pPr>
      <w:r>
        <w:rPr>
          <w:rFonts w:ascii="Calibri" w:cs="Calibri" w:eastAsia="Calibri" w:hAnsi="Calibri"/>
          <w:b/>
          <w:bCs/>
          <w:i w:val="false"/>
          <w:iCs w:val="false"/>
          <w:color w:val="000000"/>
          <w:sz w:val="25"/>
          <w:szCs w:val="25"/>
        </w:rPr>
        <w:t xml:space="preserve">1.1 Por qué las soluciones existentes son insuficientes</w:t>
      </w:r>
    </w:p>
    <w:p>
      <w:pPr>
        <w:spacing w:after="140" w:before="0" w:line="276"/>
      </w:pPr>
      <w:r>
        <w:rPr>
          <w:rFonts w:ascii="Calibri" w:cs="Calibri" w:eastAsia="Calibri" w:hAnsi="Calibri"/>
          <w:b w:val="false"/>
          <w:bCs w:val="false"/>
          <w:i w:val="false"/>
          <w:iCs w:val="false"/>
          <w:color w:val="000000"/>
          <w:sz w:val="21"/>
          <w:szCs w:val="21"/>
        </w:rPr>
        <w:t xml:space="preserve">El problema ya fue identificado en el mercado y en lanzamientos recientes. Hay proyectos serios que lo abordaron y lo hacen bien dentro de sus límites. Verificar la identidad antes de un swap es un punto inicial necesario de conocimiento de la contraparte, pero no es suficiente.</w:t>
      </w:r>
    </w:p>
    <w:p>
      <w:pPr>
        <w:spacing w:after="140" w:before="0" w:line="276"/>
      </w:pPr>
      <w:r>
        <w:rPr>
          <w:rFonts w:ascii="Calibri" w:cs="Calibri" w:eastAsia="Calibri" w:hAnsi="Calibri"/>
          <w:b w:val="false"/>
          <w:bCs w:val="false"/>
          <w:i w:val="false"/>
          <w:iCs w:val="false"/>
          <w:color w:val="000000"/>
          <w:sz w:val="21"/>
          <w:szCs w:val="21"/>
        </w:rPr>
        <w:t xml:space="preserve">Como veremos a lo largo del documento, las soluciones existentes hacen una verificación en el momento del swap y emiten un veredicto: la wallet está habilitada o no. Consultan si una dirección figura en una lista de sanciones, o si el usuario tiene un certificado KYC válido. Si todo está en orden, la operación se ejecuta. Ese control es real y tiene valor. El problema es que ahí termina.</w:t>
      </w:r>
    </w:p>
    <w:p>
      <w:pPr>
        <w:spacing w:after="140" w:before="0" w:line="276"/>
      </w:pPr>
      <w:r>
        <w:rPr>
          <w:rFonts w:ascii="Calibri" w:cs="Calibri" w:eastAsia="Calibri" w:hAnsi="Calibri"/>
          <w:b w:val="false"/>
          <w:bCs w:val="false"/>
          <w:i w:val="false"/>
          <w:iCs w:val="false"/>
          <w:color w:val="000000"/>
          <w:sz w:val="21"/>
          <w:szCs w:val="21"/>
        </w:rPr>
        <w:t xml:space="preserve">Las instituciones financieras del sistema bancario tradicional no operan de esa manera. Sus reguladores no les piden que verifiquen identidad una sola vez y olviden. Les exigen monitoreo continuo, que observen el comportamiento de sus contrapartes a lo largo del tiempo, que detecten patrones sospechosos aunque nadie figure en ninguna lista, y que actúen ante la sospecha razonable, incluso antes de la certeza.</w:t>
      </w:r>
    </w:p>
    <w:p>
      <w:pPr>
        <w:spacing w:after="140" w:before="0" w:line="276"/>
      </w:pPr>
      <w:r>
        <w:rPr>
          <w:rFonts w:ascii="Calibri" w:cs="Calibri" w:eastAsia="Calibri" w:hAnsi="Calibri"/>
          <w:b w:val="false"/>
          <w:bCs w:val="false"/>
          <w:i w:val="false"/>
          <w:iCs w:val="false"/>
          <w:color w:val="000000"/>
          <w:sz w:val="21"/>
          <w:szCs w:val="21"/>
        </w:rPr>
        <w:t xml:space="preserve">Una wallet puede pasar cualquier chequeo de identidad hoy y mañana ejecutar cuarenta swaps pequeños en seis horas para fraccionar un monto grande, configurando una tipología AML clásica llamada structuring. Ningún sistema que solo mira el momento del swap lo va a detectar. Tampoco detecta cuando una wallet nueva recibe fondos de una wallet de alto riesgo horas antes de operar, ni cuando el patrón de transacciones es estadísticamente consistente con un exit liquidity scheme.</w:t>
      </w:r>
    </w:p>
    <w:p>
      <w:pPr>
        <w:spacing w:after="140" w:before="0" w:line="276"/>
      </w:pPr>
      <w:r>
        <w:rPr>
          <w:rFonts w:ascii="Calibri" w:cs="Calibri" w:eastAsia="Calibri" w:hAnsi="Calibri"/>
          <w:b w:val="false"/>
          <w:bCs w:val="false"/>
          <w:i w:val="false"/>
          <w:iCs w:val="false"/>
          <w:color w:val="000000"/>
          <w:sz w:val="21"/>
          <w:szCs w:val="21"/>
        </w:rPr>
        <w:t xml:space="preserve">Hedi Navazan, Chief Compliance Officer de 1inch Labs, lo formuló con precisión: "la evaluación de riesgo debería ser holística, considerando una variedad de factores, no solo un indicador singular como el volumen de transacción" (</w:t>
      </w:r>
      <w:hyperlink w:history="1" r:id="rIdrxacjcpykbxywjeyiqa2k">
        <w:r>
          <w:rPr>
            <w:rStyle w:val="Hyperlink"/>
            <w:rFonts w:ascii="Calibri" w:cs="Calibri" w:eastAsia="Calibri" w:hAnsi="Calibri"/>
            <w:sz w:val="21"/>
            <w:szCs w:val="21"/>
          </w:rPr>
          <w:t xml:space="preserve">link</w:t>
        </w:r>
      </w:hyperlink>
      <w:r>
        <w:rPr>
          <w:rFonts w:ascii="Calibri" w:cs="Calibri" w:eastAsia="Calibri" w:hAnsi="Calibri"/>
          <w:b w:val="false"/>
          <w:bCs w:val="false"/>
          <w:i w:val="false"/>
          <w:iCs w:val="false"/>
          <w:color w:val="000000"/>
          <w:sz w:val="21"/>
          <w:szCs w:val="21"/>
        </w:rPr>
        <w:t xml:space="preserve">). Esa crítica no invalida las soluciones existentes, describe su límite. Y ese límite es exactamente el espacio que AML Hook ocupa.</w:t>
      </w:r>
    </w:p>
    <w:p>
      <w:pPr>
        <w:spacing w:after="140" w:before="0" w:line="276"/>
      </w:pPr>
      <w:r>
        <w:rPr>
          <w:rFonts w:ascii="Calibri" w:cs="Calibri" w:eastAsia="Calibri" w:hAnsi="Calibri"/>
          <w:b w:val="false"/>
          <w:bCs w:val="false"/>
          <w:i w:val="false"/>
          <w:iCs w:val="false"/>
          <w:color w:val="000000"/>
          <w:sz w:val="21"/>
          <w:szCs w:val="21"/>
        </w:rPr>
        <w:t xml:space="preserve">DeFi necesita un sistema que construya una película y no una fotografía. Que acumule el historial de comportamiento de cada wallet, que detecte patrones emergentes, y que gradúe su respuesta según el nivel de riesgo real. La misma lógica que un banco aplica cuando decide entre aprobar una operación, escalarla a revisión o rechazarla.</w:t>
      </w:r>
    </w:p>
    <w:p>
      <w:pPr>
        <w:spacing w:after="120" w:before="220"/>
      </w:pPr>
      <w:r>
        <w:rPr>
          <w:rFonts w:ascii="Calibri" w:cs="Calibri" w:eastAsia="Calibri" w:hAnsi="Calibri"/>
          <w:b/>
          <w:bCs/>
          <w:i w:val="false"/>
          <w:iCs w:val="false"/>
          <w:color w:val="000000"/>
          <w:sz w:val="25"/>
          <w:szCs w:val="25"/>
        </w:rPr>
        <w:t xml:space="preserve">1.2 Por qué ahora</w:t>
      </w:r>
    </w:p>
    <w:p>
      <w:pPr>
        <w:spacing w:after="140" w:before="0" w:line="276"/>
      </w:pPr>
      <w:r>
        <w:rPr>
          <w:rFonts w:ascii="Calibri" w:cs="Calibri" w:eastAsia="Calibri" w:hAnsi="Calibri"/>
          <w:b w:val="false"/>
          <w:bCs w:val="false"/>
          <w:i w:val="false"/>
          <w:iCs w:val="false"/>
          <w:color w:val="000000"/>
          <w:sz w:val="21"/>
          <w:szCs w:val="21"/>
        </w:rPr>
        <w:t xml:space="preserve">El capital institucional en DeFi está en fases tempranas. Cuando ese capital llegue en escala, lo que Standard Chartered anticipa con su </w:t>
      </w:r>
      <w:hyperlink w:history="1" r:id="rIdd8ehz5fexjvqth2gd_57y">
        <w:r>
          <w:rPr>
            <w:rStyle w:val="Hyperlink"/>
            <w:rFonts w:ascii="Calibri" w:cs="Calibri" w:eastAsia="Calibri" w:hAnsi="Calibri"/>
            <w:sz w:val="21"/>
            <w:szCs w:val="21"/>
          </w:rPr>
          <w:t xml:space="preserve">target de USD 100 para UNI</w:t>
        </w:r>
      </w:hyperlink>
      <w:r>
        <w:rPr>
          <w:rFonts w:ascii="Calibri" w:cs="Calibri" w:eastAsia="Calibri" w:hAnsi="Calibri"/>
          <w:b w:val="false"/>
          <w:bCs w:val="false"/>
          <w:i w:val="false"/>
          <w:iCs w:val="false"/>
          <w:color w:val="000000"/>
          <w:sz w:val="21"/>
          <w:szCs w:val="21"/>
        </w:rPr>
        <w:t xml:space="preserve">, va a necesitar exactamente la infraestructura que este proyecto construye. Se está construyendo antes de que la demanda sea obvia para todos.</w:t>
      </w:r>
    </w:p>
    <w:p>
      <w:pPr>
        <w:spacing w:after="140" w:before="0" w:line="276"/>
      </w:pPr>
      <w:r>
        <w:rPr>
          <w:rFonts w:ascii="Calibri" w:cs="Calibri" w:eastAsia="Calibri" w:hAnsi="Calibri"/>
          <w:b w:val="false"/>
          <w:bCs w:val="false"/>
          <w:i w:val="false"/>
          <w:iCs w:val="false"/>
          <w:color w:val="000000"/>
          <w:sz w:val="21"/>
          <w:szCs w:val="21"/>
        </w:rPr>
        <w:t xml:space="preserve">En julio de 2026, Uniswap Labs publicó la documentación oficial de </w:t>
      </w:r>
      <w:hyperlink w:history="1" r:id="rIddhfq6dv5vfkji0dv0kzfm">
        <w:r>
          <w:rPr>
            <w:rStyle w:val="Hyperlink"/>
            <w:rFonts w:ascii="Calibri" w:cs="Calibri" w:eastAsia="Calibri" w:hAnsi="Calibri"/>
            <w:sz w:val="21"/>
            <w:szCs w:val="21"/>
          </w:rPr>
          <w:t xml:space="preserve">Permissioned Pools</w:t>
        </w:r>
      </w:hyperlink>
      <w:r>
        <w:rPr>
          <w:rFonts w:ascii="Calibri" w:cs="Calibri" w:eastAsia="Calibri" w:hAnsi="Calibri"/>
          <w:b w:val="false"/>
          <w:bCs w:val="false"/>
          <w:i w:val="false"/>
          <w:iCs w:val="false"/>
          <w:color w:val="000000"/>
          <w:sz w:val="21"/>
          <w:szCs w:val="21"/>
        </w:rPr>
        <w:t xml:space="preserve">, su propia solución nativa de control de acceso a nivel de pool. Esa publicación confirma que el compliance en Uniswap v4 dejó de ser una hipótesis de mercado y pasó a ser una prioridad reconocida por el equipo que construye el protocolo. También delimita con precisión el espacio que AML Hook ocupa: la solución de Labs resuelve el control de acceso, no el monitoreo conductual.</w:t>
      </w:r>
    </w:p>
    <w:tbl>
      <w:tblPr>
        <w:tblW w:type="dxa" w:w="9360"/>
        <w:tblBorders>
          <w:top w:val="single" w:color="8A97A8" w:sz="4"/>
          <w:left w:val="single" w:color="4A5568" w:sz="12"/>
          <w:bottom w:val="single" w:color="8A97A8" w:sz="4"/>
          <w:right w:val="single" w:color="8A97A8" w:sz="4"/>
          <w:insideH w:val="none"/>
          <w:insideV w:val="none"/>
        </w:tblBorders>
      </w:tblPr>
      <w:tblGrid>
        <w:gridCol w:w="9360"/>
      </w:tblGrid>
      <w:tr>
        <w:tc>
          <w:tcPr>
            <w:tcW w:type="dxa" w:w="9360"/>
            <w:shd w:fill="F7F9FC" w:color="auto" w:val="clear"/>
            <w:tcMar>
              <w:top w:type="dxa" w:w="120"/>
              <w:left w:type="dxa" w:w="160"/>
              <w:bottom w:type="dxa" w:w="120"/>
              <w:right w:type="dxa" w:w="160"/>
            </w:tcMar>
          </w:tcPr>
          <w:p>
            <w:pPr>
              <w:spacing w:after="80" w:line="276"/>
            </w:pPr>
            <w:r>
              <w:rPr>
                <w:rFonts w:ascii="Calibri" w:cs="Calibri" w:eastAsia="Calibri" w:hAnsi="Calibri"/>
                <w:b/>
                <w:bCs/>
                <w:i/>
                <w:iCs/>
                <w:color w:val="000000"/>
                <w:sz w:val="22"/>
                <w:szCs w:val="22"/>
              </w:rPr>
              <w:t xml:space="preserve">Hay USD 25.000 millones en RWAs on-chain que no circulan en DeFi. Las instituciones financieras operan bajo obligaciones de monitoreo continuo que ningún hook existente puede satisfacer. Un pool puede recibir el token de un proveedor KYC estático y aun así financiar terrorismo o favorecer el lavado de activos. Un pool no necesita saber quién sos en el momento del swap. Necesita saber cómo te comportaste en los últimos 100. Ningún sistema existente les da eso dentro del protocolo. Ninguno propicia el buen comportamiento ni ajusta el pool a las mejores prácticas AML. AML Hook sí. Favorece las inversiones y evita las multas.</w:t>
            </w:r>
          </w:p>
        </w:tc>
      </w:tr>
    </w:tbl>
    <w:p>
      <w:pPr>
        <w:spacing w:after="140" w:before="280"/>
      </w:pPr>
      <w:r>
        <w:rPr>
          <w:rFonts w:ascii="Calibri" w:cs="Calibri" w:eastAsia="Calibri" w:hAnsi="Calibri"/>
          <w:b/>
          <w:bCs/>
          <w:i w:val="false"/>
          <w:iCs w:val="false"/>
          <w:color w:val="000000"/>
          <w:sz w:val="30"/>
          <w:szCs w:val="30"/>
        </w:rPr>
        <w:t xml:space="preserve">2. El Producto</w:t>
      </w:r>
    </w:p>
    <w:p>
      <w:pPr>
        <w:spacing w:after="120" w:before="220"/>
      </w:pPr>
      <w:r>
        <w:rPr>
          <w:rFonts w:ascii="Calibri" w:cs="Calibri" w:eastAsia="Calibri" w:hAnsi="Calibri"/>
          <w:b/>
          <w:bCs/>
          <w:i w:val="false"/>
          <w:iCs w:val="false"/>
          <w:color w:val="000000"/>
          <w:sz w:val="25"/>
          <w:szCs w:val="25"/>
        </w:rPr>
        <w:t xml:space="preserve">2.1 Descripción General</w:t>
      </w:r>
    </w:p>
    <w:p>
      <w:pPr>
        <w:spacing w:after="140" w:before="0" w:line="276"/>
      </w:pPr>
      <w:r>
        <w:rPr>
          <w:rFonts w:ascii="Calibri" w:cs="Calibri" w:eastAsia="Calibri" w:hAnsi="Calibri"/>
          <w:b w:val="false"/>
          <w:bCs w:val="false"/>
          <w:i w:val="false"/>
          <w:iCs w:val="false"/>
          <w:color w:val="000000"/>
          <w:sz w:val="21"/>
          <w:szCs w:val="21"/>
        </w:rPr>
        <w:t xml:space="preserve">AML Hook es una capa de compliance modular que opera nativamente como hook de Uniswap v4. A diferencia de las soluciones existentes, que verifican identidad una sola vez en el onboarding, AML Hook verifica compliance en cada swap, en tiempo real, directamente en la capa de ejecución del pool.</w:t>
      </w:r>
    </w:p>
    <w:p>
      <w:pPr>
        <w:spacing w:after="140" w:before="0" w:line="276"/>
      </w:pPr>
      <w:r>
        <w:rPr>
          <w:rFonts w:ascii="Calibri" w:cs="Calibri" w:eastAsia="Calibri" w:hAnsi="Calibri"/>
          <w:b w:val="false"/>
          <w:bCs w:val="false"/>
          <w:i w:val="false"/>
          <w:iCs w:val="false"/>
          <w:color w:val="000000"/>
          <w:sz w:val="21"/>
          <w:szCs w:val="21"/>
        </w:rPr>
        <w:t xml:space="preserve">El hook intercepta el ciclo de vida del swap en dos momentos, beforeSwap y afterSwap. Ejecuta screening estático y scoring dinámico de ambas partes, construye un perfil de riesgo acumulativo, y decide si la operación se ejecuta, se condiciona o se revierte. El ciclo cierra con un módulo de reporting que permite presentar informes auditables a reguladores.</w:t>
      </w:r>
    </w:p>
    <w:p>
      <w:pPr>
        <w:spacing w:after="120" w:before="220"/>
      </w:pPr>
      <w:r>
        <w:rPr>
          <w:rFonts w:ascii="Calibri" w:cs="Calibri" w:eastAsia="Calibri" w:hAnsi="Calibri"/>
          <w:b/>
          <w:bCs/>
          <w:i w:val="false"/>
          <w:iCs w:val="false"/>
          <w:color w:val="000000"/>
          <w:sz w:val="25"/>
          <w:szCs w:val="25"/>
        </w:rPr>
        <w:t xml:space="preserve">2.2 Objetivos del Producto</w:t>
      </w:r>
    </w:p>
    <w:p>
      <w:pPr>
        <w:spacing w:after="140" w:before="0" w:line="276"/>
      </w:pPr>
      <w:r>
        <w:rPr>
          <w:rFonts w:ascii="Calibri" w:cs="Calibri" w:eastAsia="Calibri" w:hAnsi="Calibri"/>
          <w:b/>
          <w:bCs/>
          <w:i w:val="false"/>
          <w:iCs w:val="false"/>
          <w:color w:val="000000"/>
          <w:sz w:val="21"/>
          <w:szCs w:val="21"/>
        </w:rPr>
        <w:t xml:space="preserve">Prevención del financiamiento del terrorismo y lavado de activos en pools DeFi. </w:t>
      </w:r>
      <w:r>
        <w:rPr>
          <w:rFonts w:ascii="Calibri" w:cs="Calibri" w:eastAsia="Calibri" w:hAnsi="Calibri"/>
          <w:b w:val="false"/>
          <w:bCs w:val="false"/>
          <w:i w:val="false"/>
          <w:iCs w:val="false"/>
          <w:color w:val="000000"/>
          <w:sz w:val="21"/>
          <w:szCs w:val="21"/>
        </w:rPr>
        <w:t xml:space="preserve">Garantizar que ningún participante en condición de sanción internacional (OFAC, FATF, listas locales) pueda operar en un pool configurado con AML Hook. Cada transacción deja evidencia on-chain verificable del proceso de screening, creando un rastro auditable que demuestra la debida diligencia del protocolo ante cualquier investigación regulatoria.</w:t>
      </w:r>
    </w:p>
    <w:p>
      <w:pPr>
        <w:spacing w:after="140" w:before="0" w:line="276"/>
      </w:pPr>
      <w:r>
        <w:rPr>
          <w:rFonts w:ascii="Calibri" w:cs="Calibri" w:eastAsia="Calibri" w:hAnsi="Calibri"/>
          <w:b/>
          <w:bCs/>
          <w:i w:val="false"/>
          <w:iCs w:val="false"/>
          <w:color w:val="000000"/>
          <w:sz w:val="21"/>
          <w:szCs w:val="21"/>
        </w:rPr>
        <w:t xml:space="preserve">Reducción de exposición regulatoria ante SEC, CFTC y equivalentes. </w:t>
      </w:r>
      <w:r>
        <w:rPr>
          <w:rFonts w:ascii="Calibri" w:cs="Calibri" w:eastAsia="Calibri" w:hAnsi="Calibri"/>
          <w:b w:val="false"/>
          <w:bCs w:val="false"/>
          <w:i w:val="false"/>
          <w:iCs w:val="false"/>
          <w:color w:val="000000"/>
          <w:sz w:val="21"/>
          <w:szCs w:val="21"/>
        </w:rPr>
        <w:t xml:space="preserve">Los protocolos DeFi que no implementan mecanismos de compliance quedan expuestos a acciones regulatorias directas. AML Hook permite a los operadores de pools demostrar que cuentan con controles activos de sanciones y comportamiento, reduciendo de forma significativa la superficie de exposición legal ante la SEC, CFTC, FinCEN, MiCA y equivalentes.</w:t>
      </w:r>
    </w:p>
    <w:p>
      <w:pPr>
        <w:spacing w:after="140" w:before="0" w:line="276"/>
      </w:pPr>
      <w:r>
        <w:rPr>
          <w:rFonts w:ascii="Calibri" w:cs="Calibri" w:eastAsia="Calibri" w:hAnsi="Calibri"/>
          <w:b/>
          <w:bCs/>
          <w:i w:val="false"/>
          <w:iCs w:val="false"/>
          <w:color w:val="000000"/>
          <w:sz w:val="21"/>
          <w:szCs w:val="21"/>
        </w:rPr>
        <w:t xml:space="preserve">Habilitación de fondos institucionales con exigencias KYC estrictas. </w:t>
      </w:r>
      <w:r>
        <w:rPr>
          <w:rFonts w:ascii="Calibri" w:cs="Calibri" w:eastAsia="Calibri" w:hAnsi="Calibri"/>
          <w:b w:val="false"/>
          <w:bCs w:val="false"/>
          <w:i w:val="false"/>
          <w:iCs w:val="false"/>
          <w:color w:val="000000"/>
          <w:sz w:val="21"/>
          <w:szCs w:val="21"/>
        </w:rPr>
        <w:t xml:space="preserve">Los fondos institucionales tienen prohibido interactuar con pools anónimos. AML Hook crea la infraestructura necesaria para que esos fondos puedan ser LPs en Uniswap v4, garantizando que cada contraparte cumpla con obligaciones de debida diligencia. Esto aplica en especial a protocolos que emiten RWA (Real World Assets), donde el activo subyacente tiene restricciones regulatorias de transferencia.</w:t>
      </w:r>
    </w:p>
    <w:p>
      <w:pPr>
        <w:spacing w:after="140" w:before="0" w:line="276"/>
      </w:pPr>
      <w:r>
        <w:rPr>
          <w:rFonts w:ascii="Calibri" w:cs="Calibri" w:eastAsia="Calibri" w:hAnsi="Calibri"/>
          <w:b/>
          <w:bCs/>
          <w:i w:val="false"/>
          <w:iCs w:val="false"/>
          <w:color w:val="000000"/>
          <w:sz w:val="21"/>
          <w:szCs w:val="21"/>
        </w:rPr>
        <w:t xml:space="preserve">Generación de ingresos adicionales mediante fee diferenciado por riesgo. </w:t>
      </w:r>
      <w:r>
        <w:rPr>
          <w:rFonts w:ascii="Calibri" w:cs="Calibri" w:eastAsia="Calibri" w:hAnsi="Calibri"/>
          <w:b w:val="false"/>
          <w:bCs w:val="false"/>
          <w:i w:val="false"/>
          <w:iCs w:val="false"/>
          <w:color w:val="000000"/>
          <w:sz w:val="21"/>
          <w:szCs w:val="21"/>
        </w:rPr>
        <w:t xml:space="preserve">AML Hook introduce un modelo de monetización nativo en la capa de ejecución. El fee del pool se ajusta de forma dinámica en función del score de riesgo de cada parte, lo que convierte el compliance de costo en revenue. Los LPs del pool capturan una prima de riesgo de las wallets con historial de exposición a mixers o clusters de alto riesgo, las wallets con score bajo reciben condiciones preferenciales que incentivan el cumplimiento, y los pools con AML Hook pueden justificar yields más altos ante inversores institucionales.</w:t>
      </w:r>
    </w:p>
    <w:p>
      <w:pPr>
        <w:spacing w:after="140" w:before="280"/>
      </w:pPr>
      <w:r>
        <w:rPr>
          <w:rFonts w:ascii="Calibri" w:cs="Calibri" w:eastAsia="Calibri" w:hAnsi="Calibri"/>
          <w:b/>
          <w:bCs/>
          <w:i w:val="false"/>
          <w:iCs w:val="false"/>
          <w:color w:val="000000"/>
          <w:sz w:val="30"/>
          <w:szCs w:val="30"/>
        </w:rPr>
        <w:t xml:space="preserve">3. Arquitectura del Hook</w:t>
      </w:r>
    </w:p>
    <w:p>
      <w:pPr>
        <w:spacing w:after="120" w:before="220"/>
      </w:pPr>
      <w:r>
        <w:rPr>
          <w:rFonts w:ascii="Calibri" w:cs="Calibri" w:eastAsia="Calibri" w:hAnsi="Calibri"/>
          <w:b/>
          <w:bCs/>
          <w:i w:val="false"/>
          <w:iCs w:val="false"/>
          <w:color w:val="000000"/>
          <w:sz w:val="25"/>
          <w:szCs w:val="25"/>
        </w:rPr>
        <w:t xml:space="preserve">3.1 El Ciclo de Vida del Swap</w:t>
      </w:r>
    </w:p>
    <w:p>
      <w:pPr>
        <w:spacing w:after="140" w:before="0" w:line="276"/>
      </w:pPr>
      <w:r>
        <w:rPr>
          <w:rFonts w:ascii="Calibri" w:cs="Calibri" w:eastAsia="Calibri" w:hAnsi="Calibri"/>
          <w:b w:val="false"/>
          <w:bCs w:val="false"/>
          <w:i w:val="false"/>
          <w:iCs w:val="false"/>
          <w:color w:val="000000"/>
          <w:sz w:val="21"/>
          <w:szCs w:val="21"/>
        </w:rPr>
        <w:t xml:space="preserve">El hook opera en dos momentos del ciclo de vida de cada swap en Uniswap v4.</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184"/>
        <w:gridCol w:w="7176"/>
      </w:tblGrid>
      <w:tr>
        <w:trPr>
          <w:tblHeader/>
        </w:trPr>
        <w:tc>
          <w:tcPr>
            <w:tcW w:type="dxa" w:w="218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Momento</w:t>
            </w:r>
          </w:p>
        </w:tc>
        <w:tc>
          <w:tcPr>
            <w:tcW w:type="dxa" w:w="717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Acción</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beforeSwap</w:t>
            </w:r>
          </w:p>
        </w:tc>
        <w:tc>
          <w:tcPr>
            <w:tcW w:type="dxa" w:w="71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Verifica al vendedor. Consulta si la wallet origen tiene autorización válida. Si no la tiene, bloquea la operación antes de ejecutarse.</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afterSwap</w:t>
            </w:r>
          </w:p>
        </w:tc>
        <w:tc>
          <w:tcPr>
            <w:tcW w:type="dxa" w:w="717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Verifica al comprador. Confirma que la wallet destino también tiene autorización. Si no la tiene, puede revertir o enrutar los fondos a un contrato de custodia temporal. Actualiza el perfil de riesgo de la wallet.</w:t>
            </w:r>
          </w:p>
        </w:tc>
      </w:tr>
    </w:tbl>
    <w:p>
      <w:pPr>
        <w:spacing w:after="120" w:before="220"/>
      </w:pPr>
      <w:r>
        <w:rPr>
          <w:rFonts w:ascii="Calibri" w:cs="Calibri" w:eastAsia="Calibri" w:hAnsi="Calibri"/>
          <w:b/>
          <w:bCs/>
          <w:i w:val="false"/>
          <w:iCs w:val="false"/>
          <w:color w:val="000000"/>
          <w:sz w:val="25"/>
          <w:szCs w:val="25"/>
        </w:rPr>
        <w:t xml:space="preserve">3.2 Las Cuatro Capas de Decisión</w:t>
      </w:r>
    </w:p>
    <w:p>
      <w:pPr>
        <w:spacing w:after="140" w:before="0" w:line="276"/>
      </w:pPr>
      <w:r>
        <w:rPr>
          <w:rFonts w:ascii="Calibri" w:cs="Calibri" w:eastAsia="Calibri" w:hAnsi="Calibri"/>
          <w:b w:val="false"/>
          <w:bCs w:val="false"/>
          <w:i w:val="false"/>
          <w:iCs w:val="false"/>
          <w:color w:val="000000"/>
          <w:sz w:val="21"/>
          <w:szCs w:val="21"/>
        </w:rPr>
        <w:t xml:space="preserve">La arquitectura de capas independientes es la característica más importante del diseño. Si una capa falla, el sistema continúa funcionando con las restantes.</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1404"/>
        <w:gridCol w:w="2964"/>
        <w:gridCol w:w="4992"/>
      </w:tblGrid>
      <w:tr>
        <w:trPr>
          <w:tblHeader/>
        </w:trPr>
        <w:tc>
          <w:tcPr>
            <w:tcW w:type="dxa" w:w="140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Capa</w:t>
            </w:r>
          </w:p>
        </w:tc>
        <w:tc>
          <w:tcPr>
            <w:tcW w:type="dxa" w:w="296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Nombre</w:t>
            </w:r>
          </w:p>
        </w:tc>
        <w:tc>
          <w:tcPr>
            <w:tcW w:type="dxa" w:w="499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Función</w:t>
            </w:r>
          </w:p>
        </w:tc>
      </w:tr>
      <w:tr>
        <w:tc>
          <w:tcPr>
            <w:tcW w:type="dxa" w:w="140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Capa 1</w:t>
            </w:r>
          </w:p>
        </w:tc>
        <w:tc>
          <w:tcPr>
            <w:tcW w:type="dxa" w:w="2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Screening estático de sanciones</w:t>
            </w:r>
          </w:p>
        </w:tc>
        <w:tc>
          <w:tcPr>
            <w:tcW w:type="dxa" w:w="499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¿Está esta dirección en OFAC u otra lista de sanciones? Bloqueo inmediato si hay match. Rápido, sin dependencia externa en tiempo de ejecución.</w:t>
            </w:r>
          </w:p>
        </w:tc>
      </w:tr>
      <w:tr>
        <w:tc>
          <w:tcPr>
            <w:tcW w:type="dxa" w:w="140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Capa 2</w:t>
            </w:r>
          </w:p>
        </w:tc>
        <w:tc>
          <w:tcPr>
            <w:tcW w:type="dxa" w:w="296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Scoring dinámico conductual</w:t>
            </w:r>
          </w:p>
        </w:tc>
        <w:tc>
          <w:tcPr>
            <w:tcW w:type="dxa" w:w="499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Oracle off-chain de behavioral scoring. Analiza el grafo de transacciones: frecuencia, volúmenes, exposición a mixers, structuring, layering. El score se precalcula y se cachea. El hook lo lee en el momento del swap, sin latencia.</w:t>
            </w:r>
          </w:p>
        </w:tc>
      </w:tr>
      <w:tr>
        <w:tc>
          <w:tcPr>
            <w:tcW w:type="dxa" w:w="140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Capa 3</w:t>
            </w:r>
          </w:p>
        </w:tc>
        <w:tc>
          <w:tcPr>
            <w:tcW w:type="dxa" w:w="2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Decisión de ejecución</w:t>
            </w:r>
          </w:p>
        </w:tc>
        <w:tc>
          <w:tcPr>
            <w:tcW w:type="dxa" w:w="499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Toma los inputs de las capas 1 y 2 y produce la decisión final: bloquear, aplicar fee diferencial, o permitir.</w:t>
            </w:r>
          </w:p>
        </w:tc>
      </w:tr>
      <w:tr>
        <w:tc>
          <w:tcPr>
            <w:tcW w:type="dxa" w:w="140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Capa 4</w:t>
            </w:r>
          </w:p>
        </w:tc>
        <w:tc>
          <w:tcPr>
            <w:tcW w:type="dxa" w:w="296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Actualización del perfil de riesgo</w:t>
            </w:r>
          </w:p>
        </w:tc>
        <w:tc>
          <w:tcPr>
            <w:tcW w:type="dxa" w:w="499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Ejecutada en afterSwap. Registra el comportamiento observado en el swap, monto, contraparte y frecuencia, y lo envía al scoring para actualizar el perfil acumulativo de la wallet. Es la capa que convierte el sistema de estático a dinámico.</w:t>
            </w:r>
          </w:p>
        </w:tc>
      </w:tr>
    </w:tbl>
    <w:p>
      <w:pPr>
        <w:spacing w:after="120" w:before="220"/>
      </w:pPr>
      <w:r>
        <w:rPr>
          <w:rFonts w:ascii="Calibri" w:cs="Calibri" w:eastAsia="Calibri" w:hAnsi="Calibri"/>
          <w:b/>
          <w:bCs/>
          <w:i w:val="false"/>
          <w:iCs w:val="false"/>
          <w:color w:val="000000"/>
          <w:sz w:val="25"/>
          <w:szCs w:val="25"/>
        </w:rPr>
        <w:t xml:space="preserve">3.3 Las Tres Salidas de Decisión</w:t>
      </w:r>
    </w:p>
    <w:p>
      <w:pPr>
        <w:spacing w:after="140" w:before="0" w:line="276"/>
      </w:pPr>
      <w:r>
        <w:rPr>
          <w:rFonts w:ascii="Calibri" w:cs="Calibri" w:eastAsia="Calibri" w:hAnsi="Calibri"/>
          <w:b w:val="false"/>
          <w:bCs w:val="false"/>
          <w:i w:val="false"/>
          <w:iCs w:val="false"/>
          <w:color w:val="000000"/>
          <w:sz w:val="21"/>
          <w:szCs w:val="21"/>
        </w:rPr>
        <w:t xml:space="preserve">La innovación central de AML Hook es su lógica de decisión ternaria, frente al sistema binario de permitir o bloquear de todos los competidores existentes.</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1560"/>
        <w:gridCol w:w="2652"/>
        <w:gridCol w:w="5148"/>
      </w:tblGrid>
      <w:tr>
        <w:trPr>
          <w:tblHeader/>
        </w:trPr>
        <w:tc>
          <w:tcPr>
            <w:tcW w:type="dxa" w:w="156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Score</w:t>
            </w:r>
          </w:p>
        </w:tc>
        <w:tc>
          <w:tcPr>
            <w:tcW w:type="dxa" w:w="265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Salida</w:t>
            </w:r>
          </w:p>
        </w:tc>
        <w:tc>
          <w:tcPr>
            <w:tcW w:type="dxa" w:w="5148"/>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Fundamento regulatorio</w:t>
            </w:r>
          </w:p>
        </w:tc>
      </w:tr>
      <w:tr>
        <w:tc>
          <w:tcPr>
            <w:tcW w:type="dxa" w:w="156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0 a 30</w:t>
            </w:r>
          </w:p>
        </w:tc>
        <w:tc>
          <w:tcPr>
            <w:tcW w:type="dxa" w:w="2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Permitir (fee estándar)</w:t>
            </w:r>
          </w:p>
        </w:tc>
        <w:tc>
          <w:tcPr>
            <w:tcW w:type="dxa" w:w="514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Wallet sin exposición a entidades sancionadas, sin patrones conductuales anómalos. Opera normalmente.</w:t>
            </w:r>
          </w:p>
        </w:tc>
      </w:tr>
      <w:tr>
        <w:tc>
          <w:tcPr>
            <w:tcW w:type="dxa" w:w="156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31 a 70</w:t>
            </w:r>
          </w:p>
        </w:tc>
        <w:tc>
          <w:tcPr>
            <w:tcW w:type="dxa" w:w="2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Fee diferencial (3x el estándar)</w:t>
            </w:r>
          </w:p>
        </w:tc>
        <w:tc>
          <w:tcPr>
            <w:tcW w:type="dxa" w:w="514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Wallet con comportamiento atípico pero sin sanción confirmada, como structuring, contrapartes de riesgo indirecto o patrones de horario sospechosos. No existe obligación legal de bloquearla. El fee funciona como desincentivo económico y señal de monitoreo, equivalente al Enhanced Due Diligence (EDD) bancario.</w:t>
            </w:r>
          </w:p>
        </w:tc>
      </w:tr>
      <w:tr>
        <w:tc>
          <w:tcPr>
            <w:tcW w:type="dxa" w:w="156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71 a 100 / OFAC</w:t>
            </w:r>
          </w:p>
        </w:tc>
        <w:tc>
          <w:tcPr>
            <w:tcW w:type="dxa" w:w="2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Bloqueo incondicional</w:t>
            </w:r>
          </w:p>
        </w:tc>
        <w:tc>
          <w:tcPr>
            <w:tcW w:type="dxa" w:w="514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Wallet en lista de sanciones OFAC, exposición directa a mixing services, darknet markets o entidades designadas. No hay discrecionalidad, la transacción revierte.</w:t>
            </w:r>
          </w:p>
        </w:tc>
      </w:tr>
    </w:tbl>
    <w:p>
      <w:pPr>
        <w:spacing w:after="140" w:before="0" w:line="276"/>
      </w:pPr>
      <w:r>
        <w:rPr>
          <w:rFonts w:ascii="Calibri" w:cs="Calibri" w:eastAsia="Calibri" w:hAnsi="Calibri"/>
          <w:b w:val="false"/>
          <w:bCs w:val="false"/>
          <w:i w:val="false"/>
          <w:iCs w:val="false"/>
          <w:color w:val="000000"/>
          <w:sz w:val="21"/>
          <w:szCs w:val="21"/>
        </w:rPr>
        <w:t xml:space="preserve">El diferenciador es la Salida 2. En el mundo regulatorio real, no todo riesgo justifica bloqueo. Un regulador no espera que bloquees una wallet con score medio, espera que la monitorees, la segregues o le apliques fricción. El fee diferencial es la traducción on-chain de ese principio, y además genera revenue para los LPs.</w:t>
      </w:r>
    </w:p>
    <w:p>
      <w:pPr>
        <w:spacing w:after="120" w:before="220"/>
      </w:pPr>
      <w:r>
        <w:rPr>
          <w:rFonts w:ascii="Calibri" w:cs="Calibri" w:eastAsia="Calibri" w:hAnsi="Calibri"/>
          <w:b/>
          <w:bCs/>
          <w:i w:val="false"/>
          <w:iCs w:val="false"/>
          <w:color w:val="000000"/>
          <w:sz w:val="25"/>
          <w:szCs w:val="25"/>
        </w:rPr>
        <w:t xml:space="preserve">3.4 Behavioral Scoring Dinámico vs. Estático</w:t>
      </w:r>
    </w:p>
    <w:p>
      <w:pPr>
        <w:spacing w:after="140" w:before="0" w:line="276"/>
      </w:pPr>
      <w:r>
        <w:rPr>
          <w:rFonts w:ascii="Calibri" w:cs="Calibri" w:eastAsia="Calibri" w:hAnsi="Calibri"/>
          <w:b w:val="false"/>
          <w:bCs w:val="false"/>
          <w:i w:val="false"/>
          <w:iCs w:val="false"/>
          <w:color w:val="000000"/>
          <w:sz w:val="21"/>
          <w:szCs w:val="21"/>
        </w:rPr>
        <w:t xml:space="preserve">Todos los competidores existentes son estáticos en el momento del swap: verifican si una credencial o una lista dice algo sobre la wallet en ese instante. AML Hook construye una película, no una fotografía.</w:t>
      </w:r>
    </w:p>
    <w:p>
      <w:pPr>
        <w:spacing w:after="140" w:before="0" w:line="276"/>
      </w:pPr>
      <w:r>
        <w:rPr>
          <w:rFonts w:ascii="Calibri" w:cs="Calibri" w:eastAsia="Calibri" w:hAnsi="Calibri"/>
          <w:b w:val="false"/>
          <w:bCs w:val="false"/>
          <w:i w:val="false"/>
          <w:iCs w:val="false"/>
          <w:color w:val="000000"/>
          <w:sz w:val="21"/>
          <w:szCs w:val="21"/>
        </w:rPr>
        <w:t xml:space="preserve">Cada vez que una wallet ejecuta un swap, el afterSwap registra ese evento y lo envía al scoring conductual, que actualiza el perfil de riesgo incorporando la nueva transacción: monto, contraparte, momento y relación con el patrón histórico. La próxima vez que esa wallet intente swapear, el beforeSwap consulta un score que ya incorpora lo que hizo en el swap anterior.</w:t>
      </w:r>
    </w:p>
    <w:p>
      <w:pPr>
        <w:spacing w:after="140" w:before="0" w:line="276"/>
      </w:pPr>
      <w:r>
        <w:rPr>
          <w:rFonts w:ascii="Calibri" w:cs="Calibri" w:eastAsia="Calibri" w:hAnsi="Calibri"/>
          <w:b w:val="false"/>
          <w:bCs w:val="false"/>
          <w:i w:val="false"/>
          <w:iCs w:val="false"/>
          <w:color w:val="000000"/>
          <w:sz w:val="21"/>
          <w:szCs w:val="21"/>
        </w:rPr>
        <w:t xml:space="preserve">La consecuencia es directa. Una wallet puede empezar con score bajo y subir de riesgo por su comportamiento on-chain, sin que nadie la haya puesto en ninguna lista. El sistema detecta patrones emergentes como structuring, layering, dust attacks y co-spending, además de las entidades ya conocidas.</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652"/>
        <w:gridCol w:w="4212"/>
        <w:gridCol w:w="2496"/>
      </w:tblGrid>
      <w:tr>
        <w:trPr>
          <w:tblHeader/>
        </w:trPr>
        <w:tc>
          <w:tcPr>
            <w:tcW w:type="dxa" w:w="265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Patrón detectado</w:t>
            </w:r>
          </w:p>
        </w:tc>
        <w:tc>
          <w:tcPr>
            <w:tcW w:type="dxa" w:w="421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Descripción</w:t>
            </w:r>
          </w:p>
        </w:tc>
        <w:tc>
          <w:tcPr>
            <w:tcW w:type="dxa" w:w="249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Detectable por lista estática</w:t>
            </w:r>
          </w:p>
        </w:tc>
      </w:tr>
      <w:tr>
        <w:tc>
          <w:tcPr>
            <w:tcW w:type="dxa" w:w="2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Structuring (pitufeo)</w:t>
            </w:r>
          </w:p>
        </w:tc>
        <w:tc>
          <w:tcPr>
            <w:tcW w:type="dxa" w:w="421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Fraccionamiento de transacciones por debajo de umbrales de reporte</w:t>
            </w:r>
          </w:p>
        </w:tc>
        <w:tc>
          <w:tcPr>
            <w:tcW w:type="dxa" w:w="249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r>
      <w:tr>
        <w:tc>
          <w:tcPr>
            <w:tcW w:type="dxa" w:w="2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Layering</w:t>
            </w:r>
          </w:p>
        </w:tc>
        <w:tc>
          <w:tcPr>
            <w:tcW w:type="dxa" w:w="421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Velocidad de rotación inusual: muchos swaps pequeños en ventana corta</w:t>
            </w:r>
          </w:p>
        </w:tc>
        <w:tc>
          <w:tcPr>
            <w:tcW w:type="dxa" w:w="249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r>
      <w:tr>
        <w:tc>
          <w:tcPr>
            <w:tcW w:type="dxa" w:w="2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Post-mixer timing</w:t>
            </w:r>
          </w:p>
        </w:tc>
        <w:tc>
          <w:tcPr>
            <w:tcW w:type="dxa" w:w="421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Wallet interactúa con mixers y luego usa el pool en período reciente</w:t>
            </w:r>
          </w:p>
        </w:tc>
        <w:tc>
          <w:tcPr>
            <w:tcW w:type="dxa" w:w="249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r>
      <w:tr>
        <w:tc>
          <w:tcPr>
            <w:tcW w:type="dxa" w:w="2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Wallet nueva de alto riesgo</w:t>
            </w:r>
          </w:p>
        </w:tc>
        <w:tc>
          <w:tcPr>
            <w:tcW w:type="dxa" w:w="421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Recibe fondos de wallet de alto riesgo horas antes del swap</w:t>
            </w:r>
          </w:p>
        </w:tc>
        <w:tc>
          <w:tcPr>
            <w:tcW w:type="dxa" w:w="249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r>
      <w:tr>
        <w:tc>
          <w:tcPr>
            <w:tcW w:type="dxa" w:w="2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Sanción OFAC directa</w:t>
            </w:r>
          </w:p>
        </w:tc>
        <w:tc>
          <w:tcPr>
            <w:tcW w:type="dxa" w:w="421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Dirección en lista de sanciones conocida</w:t>
            </w:r>
          </w:p>
        </w:tc>
        <w:tc>
          <w:tcPr>
            <w:tcW w:type="dxa" w:w="249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Sí</w:t>
            </w:r>
          </w:p>
        </w:tc>
      </w:tr>
    </w:tbl>
    <w:p>
      <w:pPr>
        <w:spacing w:after="80" w:before="160"/>
      </w:pPr>
      <w:r>
        <w:rPr>
          <w:rFonts w:ascii="Calibri" w:cs="Calibri" w:eastAsia="Calibri" w:hAnsi="Calibri"/>
          <w:b/>
          <w:bCs/>
          <w:i w:val="false"/>
          <w:iCs w:val="false"/>
          <w:color w:val="000000"/>
          <w:sz w:val="22"/>
          <w:szCs w:val="22"/>
        </w:rPr>
        <w:t xml:space="preserve">Detección de fraude y exit liquidity schemes</w:t>
      </w:r>
    </w:p>
    <w:p>
      <w:pPr>
        <w:spacing w:after="140" w:before="0" w:line="276"/>
      </w:pPr>
      <w:r>
        <w:rPr>
          <w:rFonts w:ascii="Calibri" w:cs="Calibri" w:eastAsia="Calibri" w:hAnsi="Calibri"/>
          <w:b w:val="false"/>
          <w:bCs w:val="false"/>
          <w:i w:val="false"/>
          <w:iCs w:val="false"/>
          <w:color w:val="000000"/>
          <w:sz w:val="21"/>
          <w:szCs w:val="21"/>
        </w:rPr>
        <w:t xml:space="preserve">El behavioral scoring no se limita al lavado de activos clásico. También identifica los patrones propios de DeFi, como rug pulls, exit liquidity schemes y wash trading, que dejan huellas on-chain medibles antes de que el daño sea total.</w:t>
      </w:r>
    </w:p>
    <w:p>
      <w:pPr>
        <w:spacing w:after="140" w:before="0" w:line="276"/>
      </w:pPr>
      <w:r>
        <w:rPr>
          <w:rFonts w:ascii="Calibri" w:cs="Calibri" w:eastAsia="Calibri" w:hAnsi="Calibri"/>
          <w:b/>
          <w:bCs/>
          <w:i w:val="false"/>
          <w:iCs w:val="false"/>
          <w:color w:val="000000"/>
          <w:sz w:val="21"/>
          <w:szCs w:val="21"/>
        </w:rPr>
        <w:t xml:space="preserve">Account age vs. swap size. </w:t>
      </w:r>
      <w:r>
        <w:rPr>
          <w:rFonts w:ascii="Calibri" w:cs="Calibri" w:eastAsia="Calibri" w:hAnsi="Calibri"/>
          <w:b w:val="false"/>
          <w:bCs w:val="false"/>
          <w:i w:val="false"/>
          <w:iCs w:val="false"/>
          <w:color w:val="000000"/>
          <w:sz w:val="21"/>
          <w:szCs w:val="21"/>
        </w:rPr>
        <w:t xml:space="preserve">Una wallet creada hace pocos días que intenta un swap de alto volumen es una anomalía estadística. Una wallet legítima de ese tamaño tiene historial de meses.</w:t>
      </w:r>
    </w:p>
    <w:p>
      <w:pPr>
        <w:spacing w:after="140" w:before="0" w:line="276"/>
      </w:pPr>
      <w:r>
        <w:rPr>
          <w:rFonts w:ascii="Calibri" w:cs="Calibri" w:eastAsia="Calibri" w:hAnsi="Calibri"/>
          <w:b/>
          <w:bCs/>
          <w:i w:val="false"/>
          <w:iCs w:val="false"/>
          <w:color w:val="000000"/>
          <w:sz w:val="21"/>
          <w:szCs w:val="21"/>
        </w:rPr>
        <w:t xml:space="preserve">Inbound-only micro-transfer clusters. </w:t>
      </w:r>
      <w:r>
        <w:rPr>
          <w:rFonts w:ascii="Calibri" w:cs="Calibri" w:eastAsia="Calibri" w:hAnsi="Calibri"/>
          <w:b w:val="false"/>
          <w:bCs w:val="false"/>
          <w:i w:val="false"/>
          <w:iCs w:val="false"/>
          <w:color w:val="000000"/>
          <w:sz w:val="21"/>
          <w:szCs w:val="21"/>
        </w:rPr>
        <w:t xml:space="preserve">Antes de un ataque, el estafador suele enviar pequeñas transferencias unidireccionales a sus wallets intermediarias para crear apariencia de actividad, sin contrapartida y en ventana de tiempo corta.</w:t>
      </w:r>
    </w:p>
    <w:p>
      <w:pPr>
        <w:spacing w:after="140" w:before="0" w:line="276"/>
      </w:pPr>
      <w:r>
        <w:rPr>
          <w:rFonts w:ascii="Calibri" w:cs="Calibri" w:eastAsia="Calibri" w:hAnsi="Calibri"/>
          <w:b/>
          <w:bCs/>
          <w:i w:val="false"/>
          <w:iCs w:val="false"/>
          <w:color w:val="000000"/>
          <w:sz w:val="21"/>
          <w:szCs w:val="21"/>
        </w:rPr>
        <w:t xml:space="preserve">Velocity score. </w:t>
      </w:r>
      <w:r>
        <w:rPr>
          <w:rFonts w:ascii="Calibri" w:cs="Calibri" w:eastAsia="Calibri" w:hAnsi="Calibri"/>
          <w:b w:val="false"/>
          <w:bCs w:val="false"/>
          <w:i w:val="false"/>
          <w:iCs w:val="false"/>
          <w:color w:val="000000"/>
          <w:sz w:val="21"/>
          <w:szCs w:val="21"/>
        </w:rPr>
        <w:t xml:space="preserve">El atacante necesita ejecutar rápido. Muchas transacciones en pocas horas que en condiciones normales llevarían días o semanas es una señal clara.</w:t>
      </w:r>
    </w:p>
    <w:p>
      <w:pPr>
        <w:spacing w:after="140" w:before="0" w:line="276"/>
      </w:pPr>
      <w:r>
        <w:rPr>
          <w:rFonts w:ascii="Calibri" w:cs="Calibri" w:eastAsia="Calibri" w:hAnsi="Calibri"/>
          <w:b/>
          <w:bCs/>
          <w:i w:val="false"/>
          <w:iCs w:val="false"/>
          <w:color w:val="000000"/>
          <w:sz w:val="21"/>
          <w:szCs w:val="21"/>
        </w:rPr>
        <w:t xml:space="preserve">Concentración de contraparte. </w:t>
      </w:r>
      <w:r>
        <w:rPr>
          <w:rFonts w:ascii="Calibri" w:cs="Calibri" w:eastAsia="Calibri" w:hAnsi="Calibri"/>
          <w:b w:val="false"/>
          <w:bCs w:val="false"/>
          <w:i w:val="false"/>
          <w:iCs w:val="false"/>
          <w:color w:val="000000"/>
          <w:sz w:val="21"/>
          <w:szCs w:val="21"/>
        </w:rPr>
        <w:t xml:space="preserve">Una wallet legítima interactúa con muchos protocolos. Una wallet de ataque interactúa casi exclusivamente con el protocolo objetivo y sus propias wallets intermediarias.</w:t>
      </w:r>
    </w:p>
    <w:p>
      <w:pPr>
        <w:spacing w:after="140" w:before="0" w:line="276"/>
      </w:pPr>
      <w:r>
        <w:rPr>
          <w:rFonts w:ascii="Calibri" w:cs="Calibri" w:eastAsia="Calibri" w:hAnsi="Calibri"/>
          <w:b w:val="false"/>
          <w:bCs w:val="false"/>
          <w:i w:val="false"/>
          <w:iCs w:val="false"/>
          <w:color w:val="000000"/>
          <w:sz w:val="21"/>
          <w:szCs w:val="21"/>
        </w:rPr>
        <w:t xml:space="preserve">El afterSwap también agrega valor cuando un swap ya pasó el filtro. Actualiza el score de la wallet en tiempo real, puede activar un circuit breaker si el swap fue anómalamente grande y retiró casi toda la liquidez, y emite eventos on-chain visibles para dashboards, alertas y otros protocolos.</w:t>
      </w:r>
    </w:p>
    <w:p>
      <w:pPr>
        <w:spacing w:after="120" w:before="220"/>
      </w:pPr>
      <w:r>
        <w:rPr>
          <w:rFonts w:ascii="Calibri" w:cs="Calibri" w:eastAsia="Calibri" w:hAnsi="Calibri"/>
          <w:b/>
          <w:bCs/>
          <w:i w:val="false"/>
          <w:iCs w:val="false"/>
          <w:color w:val="000000"/>
          <w:sz w:val="25"/>
          <w:szCs w:val="25"/>
        </w:rPr>
        <w:t xml:space="preserve">3.5 Arquitectura Técnica Detallada</w:t>
      </w:r>
    </w:p>
    <w:p>
      <w:pPr>
        <w:spacing w:after="80" w:before="160"/>
      </w:pPr>
      <w:r>
        <w:rPr>
          <w:rFonts w:ascii="Calibri" w:cs="Calibri" w:eastAsia="Calibri" w:hAnsi="Calibri"/>
          <w:b/>
          <w:bCs/>
          <w:i w:val="false"/>
          <w:iCs w:val="false"/>
          <w:color w:val="000000"/>
          <w:sz w:val="22"/>
          <w:szCs w:val="22"/>
        </w:rPr>
        <w:t xml:space="preserve">Motor de análisis off-chain</w:t>
      </w:r>
    </w:p>
    <w:p>
      <w:pPr>
        <w:spacing w:after="140" w:before="0" w:line="276"/>
      </w:pPr>
      <w:r>
        <w:rPr>
          <w:rFonts w:ascii="Calibri" w:cs="Calibri" w:eastAsia="Calibri" w:hAnsi="Calibri"/>
          <w:b w:val="false"/>
          <w:bCs w:val="false"/>
          <w:i w:val="false"/>
          <w:iCs w:val="false"/>
          <w:color w:val="000000"/>
          <w:sz w:val="21"/>
          <w:szCs w:val="21"/>
        </w:rPr>
        <w:t xml:space="preserve">Procesa en tiempo continuo el grafo de transacciones on-chain. Para cada wallet calcula su exposición directa, es decir si interactuó con wallets en lista negra, y su exposición indirecta, si interactuó con wallets que a su vez interactuaron con wallets en lista negra, a una profundidad configurable de dos a tres saltos. Mide también la frecuencia y el volumen de interacciones con clusters de riesgo, y detecta wallets relacionadas cuando una dirección nueva comparte patrones de comportamiento con una ya bloqueada.</w:t>
      </w:r>
    </w:p>
    <w:p>
      <w:pPr>
        <w:spacing w:after="80" w:before="160"/>
      </w:pPr>
      <w:r>
        <w:rPr>
          <w:rFonts w:ascii="Calibri" w:cs="Calibri" w:eastAsia="Calibri" w:hAnsi="Calibri"/>
          <w:b/>
          <w:bCs/>
          <w:i w:val="false"/>
          <w:iCs w:val="false"/>
          <w:color w:val="000000"/>
          <w:sz w:val="22"/>
          <w:szCs w:val="22"/>
        </w:rPr>
        <w:t xml:space="preserve">Oracle on-chain</w:t>
      </w:r>
    </w:p>
    <w:p>
      <w:pPr>
        <w:spacing w:after="140" w:before="0" w:line="276"/>
      </w:pPr>
      <w:r>
        <w:rPr>
          <w:rFonts w:ascii="Calibri" w:cs="Calibri" w:eastAsia="Calibri" w:hAnsi="Calibri"/>
          <w:b w:val="false"/>
          <w:bCs w:val="false"/>
          <w:i w:val="false"/>
          <w:iCs w:val="false"/>
          <w:color w:val="000000"/>
          <w:sz w:val="21"/>
          <w:szCs w:val="21"/>
        </w:rPr>
        <w:t xml:space="preserve">Contrato que almacena el estado de cada wallet y que el hook puede consultar: la lista negra directa (OFAC, listas FATF, listas locales), el risk score calculado por el motor off-chain, el timestamp de la última actualización y la validez del token KYC emitido por un proveedor externo, como Civic o Polygon ID con ZK-proof.</w:t>
      </w:r>
    </w:p>
    <w:p>
      <w:pPr>
        <w:spacing w:after="80" w:before="160"/>
      </w:pPr>
      <w:r>
        <w:rPr>
          <w:rFonts w:ascii="Calibri" w:cs="Calibri" w:eastAsia="Calibri" w:hAnsi="Calibri"/>
          <w:b/>
          <w:bCs/>
          <w:i w:val="false"/>
          <w:iCs w:val="false"/>
          <w:color w:val="000000"/>
          <w:sz w:val="22"/>
          <w:szCs w:val="22"/>
        </w:rPr>
        <w:t xml:space="preserve">Arquitectura multi-capa con fallback</w:t>
      </w:r>
    </w:p>
    <w:p>
      <w:pPr>
        <w:spacing w:after="140" w:before="0" w:line="276"/>
      </w:pPr>
      <w:r>
        <w:rPr>
          <w:rFonts w:ascii="Calibri" w:cs="Calibri" w:eastAsia="Calibri" w:hAnsi="Calibri"/>
          <w:b w:val="false"/>
          <w:bCs w:val="false"/>
          <w:i w:val="false"/>
          <w:iCs w:val="false"/>
          <w:color w:val="000000"/>
          <w:sz w:val="21"/>
          <w:szCs w:val="21"/>
        </w:rPr>
        <w:t xml:space="preserve">En lugar de depender de un solo oracle, AML Hook está diseñado con capas redundantes. La capa estática es la lista OFAC on-chain actualizable, sin dependencia externa en tiempo de ejecución. La capa dinámica primaria es el oracle del proveedor negociado, Chainalysis o TRM Labs. Y la capa de fallback entra cuando el oracle principal no responde: el hook ejecuta con la capa estática solamente en lugar de revertir la transacción, lo que elimina el riesgo de punto único de falla.</w:t>
      </w:r>
    </w:p>
    <w:p>
      <w:pPr>
        <w:spacing w:after="80" w:before="160"/>
      </w:pPr>
      <w:r>
        <w:rPr>
          <w:rFonts w:ascii="Calibri" w:cs="Calibri" w:eastAsia="Calibri" w:hAnsi="Calibri"/>
          <w:b/>
          <w:bCs/>
          <w:i w:val="false"/>
          <w:iCs w:val="false"/>
          <w:color w:val="000000"/>
          <w:sz w:val="22"/>
          <w:szCs w:val="22"/>
        </w:rPr>
        <w:t xml:space="preserve">Verificación de Smart Accounts institucionales</w:t>
      </w:r>
    </w:p>
    <w:p>
      <w:pPr>
        <w:spacing w:after="140" w:before="0" w:line="276"/>
      </w:pPr>
      <w:r>
        <w:rPr>
          <w:rFonts w:ascii="Calibri" w:cs="Calibri" w:eastAsia="Calibri" w:hAnsi="Calibri"/>
          <w:b w:val="false"/>
          <w:bCs w:val="false"/>
          <w:i w:val="false"/>
          <w:iCs w:val="false"/>
          <w:color w:val="000000"/>
          <w:sz w:val="21"/>
          <w:szCs w:val="21"/>
        </w:rPr>
        <w:t xml:space="preserve">Un caso crítico que los competidores ignoran es que los fondos institucionales no usan wallets simples. Usan Smart Accounts, multisigs como Safe que requieren que varios ejecutivos firmen cada transacción. Cuando el swap llega al hook en beforeSwap, msg.sender es un contrato y no una persona, no tiene KYC asociado de forma directa ni aparece en listas de sanciones.</w:t>
      </w:r>
    </w:p>
    <w:p>
      <w:pPr>
        <w:spacing w:after="140" w:before="0" w:line="276"/>
      </w:pPr>
      <w:r>
        <w:rPr>
          <w:rFonts w:ascii="Calibri" w:cs="Calibri" w:eastAsia="Calibri" w:hAnsi="Calibri"/>
          <w:b w:val="false"/>
          <w:bCs w:val="false"/>
          <w:i w:val="false"/>
          <w:iCs w:val="false"/>
          <w:color w:val="000000"/>
          <w:sz w:val="21"/>
          <w:szCs w:val="21"/>
        </w:rPr>
        <w:t xml:space="preserve">AML Hook resuelve esto con dos modelos de verificación. En la verificación de controladores, el hook consulta quiénes son los dueños de la Smart Account y verifica cada uno de forma individual, de modo que si algún controlador está sancionado, se bloquea el swap. En la verificación por threshold no basta con que un controlador esté limpio, se verifica que haya suficientes controladores limpios para cumplir el umbral de aprobación del multisig. Si el threshold es de tres sobre cinco y un controlador sancionado no alcanza para aprobar nada por sí solo, el swap puede proceder.</w:t>
      </w:r>
    </w:p>
    <w:p>
      <w:pPr>
        <w:spacing w:after="120" w:before="220"/>
      </w:pPr>
      <w:r>
        <w:rPr>
          <w:rFonts w:ascii="Calibri" w:cs="Calibri" w:eastAsia="Calibri" w:hAnsi="Calibri"/>
          <w:b/>
          <w:bCs/>
          <w:i w:val="false"/>
          <w:iCs w:val="false"/>
          <w:color w:val="000000"/>
          <w:sz w:val="25"/>
          <w:szCs w:val="25"/>
        </w:rPr>
        <w:t xml:space="preserve">3.6 Módulo de Reporting para Reguladores</w:t>
      </w:r>
    </w:p>
    <w:p>
      <w:pPr>
        <w:spacing w:after="140" w:before="0" w:line="276"/>
      </w:pPr>
      <w:r>
        <w:rPr>
          <w:rFonts w:ascii="Calibri" w:cs="Calibri" w:eastAsia="Calibri" w:hAnsi="Calibri"/>
          <w:b w:val="false"/>
          <w:bCs w:val="false"/>
          <w:i w:val="false"/>
          <w:iCs w:val="false"/>
          <w:color w:val="000000"/>
          <w:sz w:val="21"/>
          <w:szCs w:val="21"/>
        </w:rPr>
        <w:t xml:space="preserve">En el afterSwap, el hook emite eventos estructurados que The Graph indexa de forma automática. Cada swap verificado queda registrado con sender, amount, timestamp y resultado de la verificación. El estándar ERC-4824 define el URI donde ese reporte es accesible públicamente.</w:t>
      </w:r>
    </w:p>
    <w:p>
      <w:pPr>
        <w:spacing w:after="140" w:before="0" w:line="276"/>
      </w:pPr>
      <w:r>
        <w:rPr>
          <w:rFonts w:ascii="Calibri" w:cs="Calibri" w:eastAsia="Calibri" w:hAnsi="Calibri"/>
          <w:b w:val="false"/>
          <w:bCs w:val="false"/>
          <w:i w:val="false"/>
          <w:iCs w:val="false"/>
          <w:color w:val="000000"/>
          <w:sz w:val="21"/>
          <w:szCs w:val="21"/>
        </w:rPr>
        <w:t xml:space="preserve">Esto permite a los operadores de pools generar informes auditables para presentar ante reguladores como la SEC, la CFTC, FinCEN o MiCA, demostrando el proceso de debida diligencia transacción por transacción. El audit log es inmutable: cada decisión del sistema queda registrada con timestamp, risk score, fuentes consultadas y acción tomada. El análisis interpretativo de esos eventos, con identificación de tipología y documentación en lenguaje natural, se desarrolla en la sección 9.5.</w:t>
      </w:r>
    </w:p>
    <w:p>
      <w:pPr>
        <w:spacing w:after="120" w:before="220"/>
      </w:pPr>
      <w:r>
        <w:rPr>
          <w:rFonts w:ascii="Calibri" w:cs="Calibri" w:eastAsia="Calibri" w:hAnsi="Calibri"/>
          <w:b/>
          <w:bCs/>
          <w:i w:val="false"/>
          <w:iCs w:val="false"/>
          <w:color w:val="000000"/>
          <w:sz w:val="25"/>
          <w:szCs w:val="25"/>
        </w:rPr>
        <w:t xml:space="preserve">3.7 Mecanismo de Fee Escrow</w:t>
      </w:r>
    </w:p>
    <w:p>
      <w:pPr>
        <w:spacing w:after="140" w:before="0" w:line="276"/>
      </w:pPr>
      <w:r>
        <w:rPr>
          <w:rFonts w:ascii="Calibri" w:cs="Calibri" w:eastAsia="Calibri" w:hAnsi="Calibri"/>
          <w:b w:val="false"/>
          <w:bCs w:val="false"/>
          <w:i w:val="false"/>
          <w:iCs w:val="false"/>
          <w:color w:val="000000"/>
          <w:sz w:val="21"/>
          <w:szCs w:val="21"/>
        </w:rPr>
        <w:t xml:space="preserve">Para swaps de riesgo medio, con score entre 31 y 70, el fee diferencial no va directamente al pool. Va a un contrato de escrow con un timelock de 48 horas. Durante ese período, si el oracle confirma que la wallet era parte de un esquema de fraude, porque apareció en una lista de Chainalysis, porque wallets relacionadas fueron flaggeadas, o porque el patrón se completó, el fee no se libera al pool sino que va a un fondo de compensación para los LPs afectados.</w:t>
      </w:r>
    </w:p>
    <w:p>
      <w:pPr>
        <w:spacing w:after="140" w:before="0" w:line="276"/>
      </w:pPr>
      <w:r>
        <w:rPr>
          <w:rFonts w:ascii="Calibri" w:cs="Calibri" w:eastAsia="Calibri" w:hAnsi="Calibri"/>
          <w:b w:val="false"/>
          <w:bCs w:val="false"/>
          <w:i w:val="false"/>
          <w:iCs w:val="false"/>
          <w:color w:val="000000"/>
          <w:sz w:val="21"/>
          <w:szCs w:val="21"/>
        </w:rPr>
        <w:t xml:space="preserve">Si en 48 horas no hay confirmación de fraude, el fee se libera normalmente. El mecanismo tiene dos efectos concretos: crea un costo económico real para el atacante incluso si logra pasar el filtro inicial, y financia la compensación de los LPs. Convierte el compliance de pasivo a activo de protección del pool.</w:t>
      </w:r>
    </w:p>
    <w:p>
      <w:pPr>
        <w:spacing w:after="120" w:before="220"/>
      </w:pPr>
      <w:r>
        <w:rPr>
          <w:rFonts w:ascii="Calibri" w:cs="Calibri" w:eastAsia="Calibri" w:hAnsi="Calibri"/>
          <w:b/>
          <w:bCs/>
          <w:i w:val="false"/>
          <w:iCs w:val="false"/>
          <w:color w:val="000000"/>
          <w:sz w:val="25"/>
          <w:szCs w:val="25"/>
        </w:rPr>
        <w:t xml:space="preserve">3.8 Latencia y Frecuencia de Actualización del Oracle</w:t>
      </w:r>
    </w:p>
    <w:p>
      <w:pPr>
        <w:spacing w:after="140" w:before="0" w:line="276"/>
      </w:pPr>
      <w:r>
        <w:rPr>
          <w:rFonts w:ascii="Calibri" w:cs="Calibri" w:eastAsia="Calibri" w:hAnsi="Calibri"/>
          <w:b w:val="false"/>
          <w:bCs w:val="false"/>
          <w:i w:val="false"/>
          <w:iCs w:val="false"/>
          <w:color w:val="000000"/>
          <w:sz w:val="21"/>
          <w:szCs w:val="21"/>
        </w:rPr>
        <w:t xml:space="preserve">El cálculo conductual no ocurre durante el swap. El motor off-chain calcula los scores de forma continua y un keeper los escribe on-chain de manera periódica. Cuando llega un swap, el hook lee un valor que ya estaba almacenado. La operación concluye en el tiempo de confirmación normal de la red, alrededor de 12 segundos en Ethereum mainnet y cerca de 1 segundo en Unichain y en la mayoría de las L2 (Layer 2, redes de segunda capa). El compliance no agrega espera perceptible.</w:t>
      </w:r>
    </w:p>
    <w:p>
      <w:pPr>
        <w:spacing w:after="140" w:before="0" w:line="276"/>
      </w:pPr>
      <w:r>
        <w:rPr>
          <w:rFonts w:ascii="Calibri" w:cs="Calibri" w:eastAsia="Calibri" w:hAnsi="Calibri"/>
          <w:b w:val="false"/>
          <w:bCs w:val="false"/>
          <w:i w:val="false"/>
          <w:iCs w:val="false"/>
          <w:color w:val="000000"/>
          <w:sz w:val="21"/>
          <w:szCs w:val="21"/>
        </w:rPr>
        <w:t xml:space="preserve">Con el diseño previsto, la frescura del score conductual depende del intervalo del keeper. Para pools institucionales de volumen alto ese intervalo se ubica entre 30 y 60 segundos, y para pools retail entre 3 y 5 minutos. Ese número es antigüedad máxima del dato, no demora de la operación.</w:t>
      </w:r>
    </w:p>
    <w:p>
      <w:pPr>
        <w:spacing w:after="140" w:before="0" w:line="276"/>
      </w:pPr>
      <w:r>
        <w:rPr>
          <w:rFonts w:ascii="Calibri" w:cs="Calibri" w:eastAsia="Calibri" w:hAnsi="Calibri"/>
          <w:b w:val="false"/>
          <w:bCs w:val="false"/>
          <w:i w:val="false"/>
          <w:iCs w:val="false"/>
          <w:color w:val="000000"/>
          <w:sz w:val="21"/>
          <w:szCs w:val="21"/>
        </w:rPr>
        <w:t xml:space="preserve">Dos decisiones cierran la ventana de desactualización. El screening de sanciones de la Capa 1 es event-driven y determinístico: un match de OFAC bloquea de inmediato, sin depender del intervalo del keeper. Y la detección de structuring dentro del pool se registra en el mismo afterSwap, sin latencia, porque no depende del oracle. Si una wallet ejecuta cuarenta swaps fraccionados, el hook lo contabiliza en tiempo real aunque el score externo esté desactualizado.</w:t>
      </w:r>
    </w:p>
    <w:p>
      <w:pPr>
        <w:spacing w:after="140" w:before="0" w:line="276"/>
      </w:pPr>
      <w:r>
        <w:rPr>
          <w:rFonts w:ascii="Calibri" w:cs="Calibri" w:eastAsia="Calibri" w:hAnsi="Calibri"/>
          <w:b w:val="false"/>
          <w:bCs w:val="false"/>
          <w:i w:val="false"/>
          <w:iCs w:val="false"/>
          <w:color w:val="000000"/>
          <w:sz w:val="21"/>
          <w:szCs w:val="21"/>
        </w:rPr>
        <w:t xml:space="preserve">El keeper escribe solo cuando la variación del score supera un umbral configurable. Si el score no se movió de forma material entre ciclos, no hay escritura. Eso evita actualizaciones redundantes sin sacrificar reactividad ante cambios relevantes de riesgo.</w:t>
      </w:r>
    </w:p>
    <w:p>
      <w:pPr>
        <w:spacing w:after="120" w:before="220"/>
      </w:pPr>
      <w:r>
        <w:rPr>
          <w:rFonts w:ascii="Calibri" w:cs="Calibri" w:eastAsia="Calibri" w:hAnsi="Calibri"/>
          <w:b/>
          <w:bCs/>
          <w:i w:val="false"/>
          <w:iCs w:val="false"/>
          <w:color w:val="000000"/>
          <w:sz w:val="25"/>
          <w:szCs w:val="25"/>
        </w:rPr>
        <w:t xml:space="preserve">3.9 Recorrido Completo de un Swap</w:t>
      </w:r>
    </w:p>
    <w:p>
      <w:pPr>
        <w:spacing w:after="140" w:before="0" w:line="276"/>
      </w:pPr>
      <w:r>
        <w:rPr>
          <w:rFonts w:ascii="Calibri" w:cs="Calibri" w:eastAsia="Calibri" w:hAnsi="Calibri"/>
          <w:b w:val="false"/>
          <w:bCs w:val="false"/>
          <w:i w:val="false"/>
          <w:iCs w:val="false"/>
          <w:color w:val="000000"/>
          <w:sz w:val="21"/>
          <w:szCs w:val="21"/>
        </w:rPr>
        <w:t xml:space="preserve">Esta sección describe el ciclo de vida completo de una operación de intercambio en un pool configurado con AML Hook, desde la firma del usuario hasta la confirmación en el bloque, precisando en qué momentos interviene el hook y qué ejecuta en cada uno. Se redacta sin presuponer conocimiento previo de la arquitectura de Uniswap v4.</w:t>
      </w:r>
    </w:p>
    <w:p>
      <w:pPr>
        <w:spacing w:after="140" w:before="0" w:line="276"/>
      </w:pPr>
      <w:r>
        <w:rPr>
          <w:rFonts w:ascii="Calibri" w:cs="Calibri" w:eastAsia="Calibri" w:hAnsi="Calibri"/>
          <w:b w:val="false"/>
          <w:bCs w:val="false"/>
          <w:i w:val="false"/>
          <w:iCs w:val="false"/>
          <w:color w:val="000000"/>
          <w:sz w:val="21"/>
          <w:szCs w:val="21"/>
        </w:rPr>
        <w:t xml:space="preserve">La versión 4 del protocolo concentra la totalidad de los pools en un contrato único denominado PoolManager. Esa concentración es la condición arquitectónica que permite la existencia de los hooks, ya que hay un punto único de ejecución donde insertar lógica externa. El PoolManager opera además bajo un esquema de contabilidad diferida, en el que las obligaciones de cada parte se registran durante la operación y se liquidan al cierre.</w:t>
      </w:r>
    </w:p>
    <w:p>
      <w:pPr>
        <w:spacing w:after="140" w:before="0" w:line="276"/>
      </w:pPr>
      <w:r>
        <w:rPr>
          <w:rFonts w:ascii="Calibri" w:cs="Calibri" w:eastAsia="Calibri" w:hAnsi="Calibri"/>
          <w:b/>
          <w:bCs/>
          <w:i w:val="false"/>
          <w:iCs w:val="false"/>
          <w:color w:val="000000"/>
          <w:sz w:val="21"/>
          <w:szCs w:val="21"/>
        </w:rPr>
        <w:t xml:space="preserve">Paso 1. Firma y envío de la transacción. </w:t>
      </w:r>
      <w:r>
        <w:rPr>
          <w:rFonts w:ascii="Calibri" w:cs="Calibri" w:eastAsia="Calibri" w:hAnsi="Calibri"/>
          <w:b w:val="false"/>
          <w:bCs w:val="false"/>
          <w:i w:val="false"/>
          <w:iCs w:val="false"/>
          <w:color w:val="000000"/>
          <w:sz w:val="21"/>
          <w:szCs w:val="21"/>
        </w:rPr>
        <w:t xml:space="preserve">El usuario selecciona el pool, el monto y la dirección del intercambio, y firma la transacción con su billetera. La transacción se dirige a un contrato router que actúa como intermediario. El usuario no interactúa de forma directa con el PoolManager. En esta instancia no interviene ningún control de compliance.</w:t>
      </w:r>
    </w:p>
    <w:p>
      <w:pPr>
        <w:spacing w:after="140" w:before="0" w:line="276"/>
      </w:pPr>
      <w:r>
        <w:rPr>
          <w:rFonts w:ascii="Calibri" w:cs="Calibri" w:eastAsia="Calibri" w:hAnsi="Calibri"/>
          <w:b/>
          <w:bCs/>
          <w:i w:val="false"/>
          <w:iCs w:val="false"/>
          <w:color w:val="000000"/>
          <w:sz w:val="21"/>
          <w:szCs w:val="21"/>
        </w:rPr>
        <w:t xml:space="preserve">Paso 2. Adquisición del bloqueo del PoolManager. </w:t>
      </w:r>
      <w:r>
        <w:rPr>
          <w:rFonts w:ascii="Calibri" w:cs="Calibri" w:eastAsia="Calibri" w:hAnsi="Calibri"/>
          <w:b w:val="false"/>
          <w:bCs w:val="false"/>
          <w:i w:val="false"/>
          <w:iCs w:val="false"/>
          <w:color w:val="000000"/>
          <w:sz w:val="21"/>
          <w:szCs w:val="21"/>
        </w:rPr>
        <w:t xml:space="preserve">El router invoca la función unlock del PoolManager. El contrato se marca como desbloqueado y devuelve el control al router mediante una llamada de retorno denominada unlockCallback. Este mecanismo existe para que el PoolManager pueda verificar, al finalizar la secuencia, que todas las obligaciones registradas quedaron saldadas.</w:t>
      </w:r>
    </w:p>
    <w:p>
      <w:pPr>
        <w:spacing w:after="140" w:before="0" w:line="276"/>
      </w:pPr>
      <w:r>
        <w:rPr>
          <w:rFonts w:ascii="Calibri" w:cs="Calibri" w:eastAsia="Calibri" w:hAnsi="Calibri"/>
          <w:b/>
          <w:bCs/>
          <w:i w:val="false"/>
          <w:iCs w:val="false"/>
          <w:color w:val="000000"/>
          <w:sz w:val="21"/>
          <w:szCs w:val="21"/>
        </w:rPr>
        <w:t xml:space="preserve">Paso 3. Invocación de la función swap. </w:t>
      </w:r>
      <w:r>
        <w:rPr>
          <w:rFonts w:ascii="Calibri" w:cs="Calibri" w:eastAsia="Calibri" w:hAnsi="Calibri"/>
          <w:b w:val="false"/>
          <w:bCs w:val="false"/>
          <w:i w:val="false"/>
          <w:iCs w:val="false"/>
          <w:color w:val="000000"/>
          <w:sz w:val="21"/>
          <w:szCs w:val="21"/>
        </w:rPr>
        <w:t xml:space="preserve">Dentro del bloqueo, el router llama a la función swap del PoolManager y le transmite la PoolKey, que identifica el pool mediante las dos monedas del par, el fee, el espaciado de ticks y la dirección del hook asociado, junto con los parámetros de la operación y un campo opcional denominado hookData. Dos parámetros son determinantes para AML Hook. El campo zeroForOne indica la dirección del intercambio, es decir cuál de las dos monedas se entrega y cuál se recibe, lo que permite el análisis de patrones de rotación direccional. El campo amountSpecified indica el monto de la operación, y es el insumo directo de la detección de fraccionamiento.</w:t>
      </w:r>
    </w:p>
    <w:p>
      <w:pPr>
        <w:spacing w:after="140" w:before="0" w:line="276"/>
      </w:pPr>
      <w:r>
        <w:rPr>
          <w:rFonts w:ascii="Calibri" w:cs="Calibri" w:eastAsia="Calibri" w:hAnsi="Calibri"/>
          <w:b/>
          <w:bCs/>
          <w:i w:val="false"/>
          <w:iCs w:val="false"/>
          <w:color w:val="000000"/>
          <w:sz w:val="21"/>
          <w:szCs w:val="21"/>
        </w:rPr>
        <w:t xml:space="preserve">Paso 4. Identificación del hook y verificación de permisos. </w:t>
      </w:r>
      <w:r>
        <w:rPr>
          <w:rFonts w:ascii="Calibri" w:cs="Calibri" w:eastAsia="Calibri" w:hAnsi="Calibri"/>
          <w:b w:val="false"/>
          <w:bCs w:val="false"/>
          <w:i w:val="false"/>
          <w:iCs w:val="false"/>
          <w:color w:val="000000"/>
          <w:sz w:val="21"/>
          <w:szCs w:val="21"/>
        </w:rPr>
        <w:t xml:space="preserve">El PoolManager obtiene la dirección del hook desde la PoolKey. Un pool sin hook tiene ese campo en cero y la secuencia continúa directamente en el paso 6. Uniswap v4 codifica los permisos del hook en los bits menos significativos de su propia dirección de contrato, de modo que la dirección determina qué funciones del ciclo de vida tiene habilitadas y evita consultas adicionales en tiempo de ejecución. La consecuencia práctica es que el despliegue de un hook requiere localizar una dirección que contenga el patrón de bits correspondiente. AML Hook requiere los permisos de beforeSwap, de afterSwap y de modificación dinámica del fee.</w:t>
      </w:r>
    </w:p>
    <w:p>
      <w:pPr>
        <w:spacing w:after="140" w:before="0" w:line="276"/>
      </w:pPr>
      <w:r>
        <w:rPr>
          <w:rFonts w:ascii="Calibri" w:cs="Calibri" w:eastAsia="Calibri" w:hAnsi="Calibri"/>
          <w:b/>
          <w:bCs/>
          <w:i w:val="false"/>
          <w:iCs w:val="false"/>
          <w:color w:val="000000"/>
          <w:sz w:val="21"/>
          <w:szCs w:val="21"/>
        </w:rPr>
        <w:t xml:space="preserve">Paso 5. Ejecución de beforeSwap, primera intervención de AML Hook. </w:t>
      </w:r>
      <w:r>
        <w:rPr>
          <w:rFonts w:ascii="Calibri" w:cs="Calibri" w:eastAsia="Calibri" w:hAnsi="Calibri"/>
          <w:b w:val="false"/>
          <w:bCs w:val="false"/>
          <w:i w:val="false"/>
          <w:iCs w:val="false"/>
          <w:color w:val="000000"/>
          <w:sz w:val="21"/>
          <w:szCs w:val="21"/>
        </w:rPr>
        <w:t xml:space="preserve">El PoolManager invoca la función beforeSwap del hook antes de ejecutar movimiento alguno de fondos. Primero el hook consulta la Capa 1: el registro on-chain de direcciones sancionadas. Ante un match confirmado, la función revierte de inmediato y la transacción se cancela en su totalidad, sin evaluación posterior ni margen de discrecionalidad. En ausencia de match, el hook lee el score conductual almacenado en el oracle, calculado off-chain con anterioridad conforme al esquema de la sección 3.8. A continuación consulta su propio estado acumulativo para esa dirección, es decir la cantidad de operaciones en la ventana vigente, el monto acumulado y la marca temporal de la última operación, una lectura que no depende del oracle. Con esas señales aplica la lógica ternaria y produce una de tres salidas. Riesgo bajo: retorna sin modificaciones y la operación continúa con el fee estándar. Riesgo intermedio: retorna un fee incrementado que el PoolManager aplica a esta operación. Riesgo alto: revierte la transacción, con registro del fundamento.</w:t>
      </w:r>
    </w:p>
    <w:p>
      <w:pPr>
        <w:spacing w:after="140" w:before="0" w:line="276"/>
      </w:pPr>
      <w:r>
        <w:rPr>
          <w:rFonts w:ascii="Calibri" w:cs="Calibri" w:eastAsia="Calibri" w:hAnsi="Calibri"/>
          <w:b/>
          <w:bCs/>
          <w:i w:val="false"/>
          <w:iCs w:val="false"/>
          <w:color w:val="000000"/>
          <w:sz w:val="21"/>
          <w:szCs w:val="21"/>
        </w:rPr>
        <w:t xml:space="preserve">Paso 6. Ejecución del intercambio y cálculo del BalanceDelta. </w:t>
      </w:r>
      <w:r>
        <w:rPr>
          <w:rFonts w:ascii="Calibri" w:cs="Calibri" w:eastAsia="Calibri" w:hAnsi="Calibri"/>
          <w:b w:val="false"/>
          <w:bCs w:val="false"/>
          <w:i w:val="false"/>
          <w:iCs w:val="false"/>
          <w:color w:val="000000"/>
          <w:sz w:val="21"/>
          <w:szCs w:val="21"/>
        </w:rPr>
        <w:t xml:space="preserve">El PoolManager ejecuta la aritmética del pool: recorrido de ticks, determinación del precio de ejecución y cálculo del monto de salida. El resultado se expresa en una estructura denominada BalanceDelta, que registra la obligación pendiente de cada parte respecto de cada una de las dos monedas. En esta instancia no se transfirió token alguno. La contabilidad diferida registra saldos en memoria transitoria y difiere la liquidación al cierre de la secuencia.</w:t>
      </w:r>
    </w:p>
    <w:p>
      <w:pPr>
        <w:spacing w:after="140" w:before="0" w:line="276"/>
      </w:pPr>
      <w:r>
        <w:rPr>
          <w:rFonts w:ascii="Calibri" w:cs="Calibri" w:eastAsia="Calibri" w:hAnsi="Calibri"/>
          <w:b/>
          <w:bCs/>
          <w:i w:val="false"/>
          <w:iCs w:val="false"/>
          <w:color w:val="000000"/>
          <w:sz w:val="21"/>
          <w:szCs w:val="21"/>
        </w:rPr>
        <w:t xml:space="preserve">Paso 7. Ejecución de afterSwap, segunda intervención de AML Hook. </w:t>
      </w:r>
      <w:r>
        <w:rPr>
          <w:rFonts w:ascii="Calibri" w:cs="Calibri" w:eastAsia="Calibri" w:hAnsi="Calibri"/>
          <w:b w:val="false"/>
          <w:bCs w:val="false"/>
          <w:i w:val="false"/>
          <w:iCs w:val="false"/>
          <w:color w:val="000000"/>
          <w:sz w:val="21"/>
          <w:szCs w:val="21"/>
        </w:rPr>
        <w:t xml:space="preserve">Ejecutada la operación, el PoolManager invoca la función afterSwap y le transmite el resultado. Esta es la instancia en la que AML Hook escribe estado, lo que constituye su diferencia estructural respecto de las soluciones existentes. El hook actualiza el contador de operaciones, el monto acumulado en la ventana vigente y la marca temporal de la última operación. Con el estado ya actualizado, evalúa si el comportamiento acumulado supera los umbrales configurados de cantidad de operaciones, monto agregado o velocidad de rotación. Es la instancia en la que se materializa la detección de fraccionamiento sistemático, sin intervención del oracle y sin latencia. Un resultado positivo eleva el nivel de riesgo aplicable a las operaciones subsiguientes de esa dirección. Finalmente el hook emite un evento on-chain con la dirección, el score, la decisión adoptada, el monto y la marca temporal, que constituye el insumo del módulo de reporting de la sección 3.6 y, en la línea de desarrollo posterior, del agente de análisis de la sección 9.5.</w:t>
      </w:r>
    </w:p>
    <w:p>
      <w:pPr>
        <w:spacing w:after="140" w:before="0" w:line="276"/>
      </w:pPr>
      <w:r>
        <w:rPr>
          <w:rFonts w:ascii="Calibri" w:cs="Calibri" w:eastAsia="Calibri" w:hAnsi="Calibri"/>
          <w:b/>
          <w:bCs/>
          <w:i w:val="false"/>
          <w:iCs w:val="false"/>
          <w:color w:val="000000"/>
          <w:sz w:val="21"/>
          <w:szCs w:val="21"/>
        </w:rPr>
        <w:t xml:space="preserve">Paso 8. Liquidación de los saldos pendientes. </w:t>
      </w:r>
      <w:r>
        <w:rPr>
          <w:rFonts w:ascii="Calibri" w:cs="Calibri" w:eastAsia="Calibri" w:hAnsi="Calibri"/>
          <w:b w:val="false"/>
          <w:bCs w:val="false"/>
          <w:i w:val="false"/>
          <w:iCs w:val="false"/>
          <w:color w:val="000000"/>
          <w:sz w:val="21"/>
          <w:szCs w:val="21"/>
        </w:rPr>
        <w:t xml:space="preserve">El control retorna al router, que debe cancelar las obligaciones registradas, transferir la moneda entregada por el usuario y retirar la moneda adquirida. El protocolo prevé una alternativa, consistente en mantener el saldo a favor dentro del PoolManager como derecho de retiro, sin extraer los tokens.</w:t>
      </w:r>
    </w:p>
    <w:p>
      <w:pPr>
        <w:spacing w:after="140" w:before="0" w:line="276"/>
      </w:pPr>
      <w:r>
        <w:rPr>
          <w:rFonts w:ascii="Calibri" w:cs="Calibri" w:eastAsia="Calibri" w:hAnsi="Calibri"/>
          <w:b/>
          <w:bCs/>
          <w:i w:val="false"/>
          <w:iCs w:val="false"/>
          <w:color w:val="000000"/>
          <w:sz w:val="21"/>
          <w:szCs w:val="21"/>
        </w:rPr>
        <w:t xml:space="preserve">Paso 9. Verificación de saldos en cero y liberación del bloqueo. </w:t>
      </w:r>
      <w:r>
        <w:rPr>
          <w:rFonts w:ascii="Calibri" w:cs="Calibri" w:eastAsia="Calibri" w:hAnsi="Calibri"/>
          <w:b w:val="false"/>
          <w:bCs w:val="false"/>
          <w:i w:val="false"/>
          <w:iCs w:val="false"/>
          <w:color w:val="000000"/>
          <w:sz w:val="21"/>
          <w:szCs w:val="21"/>
        </w:rPr>
        <w:t xml:space="preserve">Concluida la actuación del router, el PoolManager verifica que la totalidad de las obligaciones registradas haya quedado en cero. Ante cualquier saldo pendiente, revierte la transacción completa. Verificado el cierre, libera el bloqueo.</w:t>
      </w:r>
    </w:p>
    <w:p>
      <w:pPr>
        <w:spacing w:after="140" w:before="0" w:line="276"/>
      </w:pPr>
      <w:r>
        <w:rPr>
          <w:rFonts w:ascii="Calibri" w:cs="Calibri" w:eastAsia="Calibri" w:hAnsi="Calibri"/>
          <w:b/>
          <w:bCs/>
          <w:i w:val="false"/>
          <w:iCs w:val="false"/>
          <w:color w:val="000000"/>
          <w:sz w:val="21"/>
          <w:szCs w:val="21"/>
        </w:rPr>
        <w:t xml:space="preserve">Paso 10. Inclusión en el bloque y confirmación. </w:t>
      </w:r>
      <w:r>
        <w:rPr>
          <w:rFonts w:ascii="Calibri" w:cs="Calibri" w:eastAsia="Calibri" w:hAnsi="Calibri"/>
          <w:b w:val="false"/>
          <w:bCs w:val="false"/>
          <w:i w:val="false"/>
          <w:iCs w:val="false"/>
          <w:color w:val="000000"/>
          <w:sz w:val="21"/>
          <w:szCs w:val="21"/>
        </w:rPr>
        <w:t xml:space="preserve">La transacción se incorpora a un bloque y adquiere confirmación, en aproximadamente doce segundos en Ethereum mainnet y alrededor de un segundo en Unichain y en la mayoría de las L2.</w:t>
      </w:r>
    </w:p>
    <w:p>
      <w:pPr>
        <w:spacing w:after="140" w:before="0" w:line="276"/>
      </w:pPr>
      <w:r>
        <w:rPr>
          <w:rFonts w:ascii="Calibri" w:cs="Calibri" w:eastAsia="Calibri" w:hAnsi="Calibri"/>
          <w:b w:val="false"/>
          <w:bCs w:val="false"/>
          <w:i w:val="false"/>
          <w:iCs w:val="false"/>
          <w:color w:val="000000"/>
          <w:sz w:val="21"/>
          <w:szCs w:val="21"/>
        </w:rPr>
        <w:t xml:space="preserve">De los diez pasos descriptos, AML Hook interviene en dos: el paso 5, con anterioridad a cualquier movimiento de fondos, y el paso 7, una vez ejecutada la operación. El resto de la secuencia es idéntico al de cualquier pool de Uniswap v4. La diferencia estructural respecto de la totalidad de las soluciones existentes se concentra en el paso 7, el único momento del ciclo en que el sistema registra memoria del comportamiento observado.</w:t>
      </w:r>
    </w:p>
    <w:p>
      <w:pPr>
        <w:spacing w:after="140" w:before="280"/>
      </w:pPr>
      <w:r>
        <w:rPr>
          <w:rFonts w:ascii="Calibri" w:cs="Calibri" w:eastAsia="Calibri" w:hAnsi="Calibri"/>
          <w:b/>
          <w:bCs/>
          <w:i w:val="false"/>
          <w:iCs w:val="false"/>
          <w:color w:val="000000"/>
          <w:sz w:val="30"/>
          <w:szCs w:val="30"/>
        </w:rPr>
        <w:t xml:space="preserve">4. Marco Legal y Regulatorio</w:t>
      </w:r>
    </w:p>
    <w:p>
      <w:pPr>
        <w:spacing w:after="120" w:before="220"/>
      </w:pPr>
      <w:r>
        <w:rPr>
          <w:rFonts w:ascii="Calibri" w:cs="Calibri" w:eastAsia="Calibri" w:hAnsi="Calibri"/>
          <w:b/>
          <w:bCs/>
          <w:i w:val="false"/>
          <w:iCs w:val="false"/>
          <w:color w:val="000000"/>
          <w:sz w:val="25"/>
          <w:szCs w:val="25"/>
        </w:rPr>
        <w:t xml:space="preserve">4.1 Frameworks Aplicables</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652"/>
        <w:gridCol w:w="6708"/>
      </w:tblGrid>
      <w:tr>
        <w:trPr>
          <w:tblHeader/>
        </w:trPr>
        <w:tc>
          <w:tcPr>
            <w:tcW w:type="dxa" w:w="265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Framework</w:t>
            </w:r>
          </w:p>
        </w:tc>
        <w:tc>
          <w:tcPr>
            <w:tcW w:type="dxa" w:w="6708"/>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Aplicación en AML Hook</w:t>
            </w:r>
          </w:p>
        </w:tc>
      </w:tr>
      <w:tr>
        <w:tc>
          <w:tcPr>
            <w:tcW w:type="dxa" w:w="2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Screening OFAC/SDN</w:t>
            </w:r>
          </w:p>
        </w:tc>
        <w:tc>
          <w:tcPr>
            <w:tcW w:type="dxa" w:w="670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Consulta de la lista Office of Foreign Assets Control directamente en la Capa 1. Bloqueo incondicional ante cualquier match, sin discrecionalidad.</w:t>
            </w:r>
          </w:p>
        </w:tc>
      </w:tr>
      <w:tr>
        <w:tc>
          <w:tcPr>
            <w:tcW w:type="dxa" w:w="2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FATF Recomendación 15 (VA)</w:t>
            </w:r>
          </w:p>
        </w:tc>
        <w:tc>
          <w:tcPr>
            <w:tcW w:type="dxa" w:w="670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El producto opera bajo el estándar GAFI Rec. 15 (revisada 2018) y la Guía GAFI sobre Activos Virtuales 2021/2023. Si la entidad operadora tiene algún punto de control sobre el protocolo, puede ser calificada como VASP, activando el conjunto completo de obligaciones AML/CFT.</w:t>
            </w:r>
          </w:p>
        </w:tc>
      </w:tr>
      <w:tr>
        <w:tc>
          <w:tcPr>
            <w:tcW w:type="dxa" w:w="2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MiCA (Europa)</w:t>
            </w:r>
          </w:p>
        </w:tc>
        <w:tc>
          <w:tcPr>
            <w:tcW w:type="dxa" w:w="670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Exige que los proveedores de servicios de activos virtuales implementen KYC y screening de sanciones. Un DEX europeo sin hook debe hacer el screening off-chain y bloquear en la interfaz, algo fácilmente evitable. Con el hook, el control es nativo en el protocolo.</w:t>
            </w:r>
          </w:p>
        </w:tc>
      </w:tr>
      <w:tr>
        <w:tc>
          <w:tcPr>
            <w:tcW w:type="dxa" w:w="2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Regulación SEC/CFTC (EE.UU.)</w:t>
            </w:r>
          </w:p>
        </w:tc>
        <w:tc>
          <w:tcPr>
            <w:tcW w:type="dxa" w:w="670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Compliance con obligaciones de broker-dealer para operaciones con activos que puedan clasificarse como valores. El módulo de reporting genera el audit trail que permite demostrar controles ante una investigación.</w:t>
            </w:r>
          </w:p>
        </w:tc>
      </w:tr>
      <w:tr>
        <w:tc>
          <w:tcPr>
            <w:tcW w:type="dxa" w:w="2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GENIUS Act (2025)</w:t>
            </w:r>
          </w:p>
        </w:tc>
        <w:tc>
          <w:tcPr>
            <w:tcW w:type="dxa" w:w="670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Marco legal promulgado en Estados Unidos para stablecoins de pago totalmente reservadas. AML Hook es compatible con los estándares de Circle y USDC requeridos por este marco.</w:t>
            </w:r>
          </w:p>
        </w:tc>
      </w:tr>
      <w:tr>
        <w:tc>
          <w:tcPr>
            <w:tcW w:type="dxa" w:w="2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Transaction Monitoring (FATF / FinCEN)</w:t>
            </w:r>
          </w:p>
        </w:tc>
        <w:tc>
          <w:tcPr>
            <w:tcW w:type="dxa" w:w="670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Los reguladores no exigen prevenir el 100% del fraude, exigen un sistema razonable de monitoreo y documentación de lo actuado. AML Hook implementa transaction monitoring en tiempo real a nivel de protocolo, sin necesitar KYC de la wallet, usando el comportamiento como proxy de riesgo. Es una propuesta regulatoria genuinamente nueva para DeFi.</w:t>
            </w:r>
          </w:p>
        </w:tc>
      </w:tr>
    </w:tbl>
    <w:p>
      <w:pPr>
        <w:spacing w:after="140" w:before="0" w:line="276"/>
      </w:pPr>
      <w:r>
        <w:rPr>
          <w:rFonts w:ascii="Calibri" w:cs="Calibri" w:eastAsia="Calibri" w:hAnsi="Calibri"/>
          <w:b w:val="false"/>
          <w:bCs w:val="false"/>
          <w:i w:val="false"/>
          <w:iCs w:val="false"/>
          <w:color w:val="000000"/>
          <w:sz w:val="21"/>
          <w:szCs w:val="21"/>
        </w:rPr>
        <w:t xml:space="preserve">El prototipo desarrollado en UHI10 se construye en conformidad con los estándares GAFI como base de referencia internacional. La arquitectura modular del hook permite ampliar la cobertura a las jurisdicciones específicas del cuadro, MiCA, SEC/CFTC y GENIUS Act, sin modificar la lógica central del contrato. Cada operador de pool configura las capas regulatorias que correspondan a su jurisdicción.</w:t>
      </w:r>
    </w:p>
    <w:p>
      <w:pPr>
        <w:spacing w:after="120" w:before="220"/>
      </w:pPr>
      <w:r>
        <w:rPr>
          <w:rFonts w:ascii="Calibri" w:cs="Calibri" w:eastAsia="Calibri" w:hAnsi="Calibri"/>
          <w:b/>
          <w:bCs/>
          <w:i w:val="false"/>
          <w:iCs w:val="false"/>
          <w:color w:val="000000"/>
          <w:sz w:val="25"/>
          <w:szCs w:val="25"/>
        </w:rPr>
        <w:t xml:space="preserve">4.2 Obligaciones Operacionales de Compliance</w:t>
      </w:r>
    </w:p>
    <w:p>
      <w:pPr>
        <w:spacing w:after="140" w:before="0" w:line="276"/>
      </w:pPr>
      <w:r>
        <w:rPr>
          <w:rFonts w:ascii="Calibri" w:cs="Calibri" w:eastAsia="Calibri" w:hAnsi="Calibri"/>
          <w:b w:val="false"/>
          <w:bCs w:val="false"/>
          <w:i w:val="false"/>
          <w:iCs w:val="false"/>
          <w:color w:val="000000"/>
          <w:sz w:val="21"/>
          <w:szCs w:val="21"/>
        </w:rPr>
        <w:t xml:space="preserve">El producto debe satisfacer los siguientes estándares para ser regulatoriamente viable.</w:t>
      </w:r>
    </w:p>
    <w:p>
      <w:pPr>
        <w:spacing w:after="140" w:before="0" w:line="276"/>
      </w:pPr>
      <w:r>
        <w:rPr>
          <w:rFonts w:ascii="Calibri" w:cs="Calibri" w:eastAsia="Calibri" w:hAnsi="Calibri"/>
          <w:b/>
          <w:bCs/>
          <w:i w:val="false"/>
          <w:iCs w:val="false"/>
          <w:color w:val="000000"/>
          <w:sz w:val="21"/>
          <w:szCs w:val="21"/>
        </w:rPr>
        <w:t xml:space="preserve">Screening de origen de fondos (Rec. 3 / Rec. 10). </w:t>
      </w:r>
      <w:r>
        <w:rPr>
          <w:rFonts w:ascii="Calibri" w:cs="Calibri" w:eastAsia="Calibri" w:hAnsi="Calibri"/>
          <w:b w:val="false"/>
          <w:bCs w:val="false"/>
          <w:i w:val="false"/>
          <w:iCs w:val="false"/>
          <w:color w:val="000000"/>
          <w:sz w:val="21"/>
          <w:szCs w:val="21"/>
        </w:rPr>
        <w:t xml:space="preserve">Screening contra listas OFAC/SDN combinado con blockchain forensics de Chainalysis, TRM Labs o equivalente, con rastreo de N saltos hacia atrás para detectar auto-lavado y fondos mezclados. El sistema no puede ser binario, debe producir un risk score con trazabilidad documental.</w:t>
      </w:r>
    </w:p>
    <w:p>
      <w:pPr>
        <w:spacing w:after="140" w:before="0" w:line="276"/>
      </w:pPr>
      <w:r>
        <w:rPr>
          <w:rFonts w:ascii="Calibri" w:cs="Calibri" w:eastAsia="Calibri" w:hAnsi="Calibri"/>
          <w:b/>
          <w:bCs/>
          <w:i w:val="false"/>
          <w:iCs w:val="false"/>
          <w:color w:val="000000"/>
          <w:sz w:val="21"/>
          <w:szCs w:val="21"/>
        </w:rPr>
        <w:t xml:space="preserve">DDC continua y monitoreo (Rec. 10). </w:t>
      </w:r>
      <w:r>
        <w:rPr>
          <w:rFonts w:ascii="Calibri" w:cs="Calibri" w:eastAsia="Calibri" w:hAnsi="Calibri"/>
          <w:b w:val="false"/>
          <w:bCs w:val="false"/>
          <w:i w:val="false"/>
          <w:iCs w:val="false"/>
          <w:color w:val="000000"/>
          <w:sz w:val="21"/>
          <w:szCs w:val="21"/>
        </w:rPr>
        <w:t xml:space="preserve">Actualización del perfil de riesgo de las wallets en el tiempo, no solo en el onboarding, con un umbral de Enhanced Due Diligence para transacciones de alto riesgo definido en política interna.</w:t>
      </w:r>
    </w:p>
    <w:p>
      <w:pPr>
        <w:spacing w:after="140" w:before="0" w:line="276"/>
      </w:pPr>
      <w:r>
        <w:rPr>
          <w:rFonts w:ascii="Calibri" w:cs="Calibri" w:eastAsia="Calibri" w:hAnsi="Calibri"/>
          <w:b/>
          <w:bCs/>
          <w:i w:val="false"/>
          <w:iCs w:val="false"/>
          <w:color w:val="000000"/>
          <w:sz w:val="21"/>
          <w:szCs w:val="21"/>
        </w:rPr>
        <w:t xml:space="preserve">Retención de registros (Rec. 11). </w:t>
      </w:r>
      <w:r>
        <w:rPr>
          <w:rFonts w:ascii="Calibri" w:cs="Calibri" w:eastAsia="Calibri" w:hAnsi="Calibri"/>
          <w:b w:val="false"/>
          <w:bCs w:val="false"/>
          <w:i w:val="false"/>
          <w:iCs w:val="false"/>
          <w:color w:val="000000"/>
          <w:sz w:val="21"/>
          <w:szCs w:val="21"/>
        </w:rPr>
        <w:t xml:space="preserve">Audit log inmutable de cada decisión, con timestamp, risk score, fuentes consultadas y acción tomada, y retención mínima de cinco años.</w:t>
      </w:r>
    </w:p>
    <w:p>
      <w:pPr>
        <w:spacing w:after="140" w:before="0" w:line="276"/>
      </w:pPr>
      <w:r>
        <w:rPr>
          <w:rFonts w:ascii="Calibri" w:cs="Calibri" w:eastAsia="Calibri" w:hAnsi="Calibri"/>
          <w:b/>
          <w:bCs/>
          <w:i w:val="false"/>
          <w:iCs w:val="false"/>
          <w:color w:val="000000"/>
          <w:sz w:val="21"/>
          <w:szCs w:val="21"/>
        </w:rPr>
        <w:t xml:space="preserve">Reporte de operaciones sospechosas (Rec. 20). </w:t>
      </w:r>
      <w:r>
        <w:rPr>
          <w:rFonts w:ascii="Calibri" w:cs="Calibri" w:eastAsia="Calibri" w:hAnsi="Calibri"/>
          <w:b w:val="false"/>
          <w:bCs w:val="false"/>
          <w:i w:val="false"/>
          <w:iCs w:val="false"/>
          <w:color w:val="000000"/>
          <w:sz w:val="21"/>
          <w:szCs w:val="21"/>
        </w:rPr>
        <w:t xml:space="preserve">Trigger automático o manual de STR (Suspicious Transaction Report) cuando el risk score supera el umbral definido. El estándar de activación es la sospecha razonable, no la certeza. Esperar la certeza es incumplimiento.</w:t>
      </w:r>
    </w:p>
    <w:p>
      <w:pPr>
        <w:spacing w:after="140" w:before="280"/>
      </w:pPr>
      <w:r>
        <w:rPr>
          <w:rFonts w:ascii="Calibri" w:cs="Calibri" w:eastAsia="Calibri" w:hAnsi="Calibri"/>
          <w:b/>
          <w:bCs/>
          <w:i w:val="false"/>
          <w:iCs w:val="false"/>
          <w:color w:val="000000"/>
          <w:sz w:val="30"/>
          <w:szCs w:val="30"/>
        </w:rPr>
        <w:t xml:space="preserve">5. Diferenciación Competitiva</w:t>
      </w:r>
    </w:p>
    <w:p>
      <w:pPr>
        <w:spacing w:after="120" w:before="220"/>
      </w:pPr>
      <w:r>
        <w:rPr>
          <w:rFonts w:ascii="Calibri" w:cs="Calibri" w:eastAsia="Calibri" w:hAnsi="Calibri"/>
          <w:b/>
          <w:bCs/>
          <w:i w:val="false"/>
          <w:iCs w:val="false"/>
          <w:color w:val="000000"/>
          <w:sz w:val="25"/>
          <w:szCs w:val="25"/>
        </w:rPr>
        <w:t xml:space="preserve">5.1 Mapa Competitivo Completo</w:t>
      </w:r>
    </w:p>
    <w:p>
      <w:pPr>
        <w:spacing w:after="140" w:before="0" w:line="276"/>
      </w:pPr>
      <w:r>
        <w:rPr>
          <w:rFonts w:ascii="Calibri" w:cs="Calibri" w:eastAsia="Calibri" w:hAnsi="Calibri"/>
          <w:b w:val="false"/>
          <w:bCs w:val="false"/>
          <w:i w:val="false"/>
          <w:iCs w:val="false"/>
          <w:color w:val="000000"/>
          <w:sz w:val="21"/>
          <w:szCs w:val="21"/>
        </w:rPr>
        <w:t xml:space="preserve">El espacio de compliance hooks en Uniswap v4 tiene siete actores identificables, agrupados en dos categorías.</w:t>
      </w:r>
    </w:p>
    <w:p>
      <w:pPr>
        <w:spacing w:after="80" w:before="60"/>
      </w:pPr>
      <w:r>
        <w:rPr>
          <w:rFonts w:ascii="Calibri" w:cs="Calibri" w:eastAsia="Calibri" w:hAnsi="Calibri"/>
          <w:b/>
          <w:bCs/>
          <w:i w:val="false"/>
          <w:iCs w:val="false"/>
          <w:color w:val="000000"/>
          <w:sz w:val="21"/>
          <w:szCs w:val="21"/>
        </w:rPr>
        <w:t xml:space="preserve">Grupo 1: Verificación de identidad estática (KYC binario)</w:t>
      </w:r>
    </w:p>
    <w:p>
      <w:pPr>
        <w:spacing w:after="140" w:before="0" w:line="276"/>
      </w:pPr>
      <w:r>
        <w:rPr>
          <w:rFonts w:ascii="Calibri" w:cs="Calibri" w:eastAsia="Calibri" w:hAnsi="Calibri"/>
          <w:b w:val="false"/>
          <w:bCs w:val="false"/>
          <w:i w:val="false"/>
          <w:iCs w:val="false"/>
          <w:color w:val="000000"/>
          <w:sz w:val="21"/>
          <w:szCs w:val="21"/>
        </w:rPr>
        <w:t xml:space="preserve">Civic Hook verifica KYC de documentos de identidad emitiendo un NFT no transferible, el Civic Pass, con lógica binaria de tener o no tener el Pass. Violet Hooks usa el registro VioletID para identity checks, también binario. Attestation Hook es un framework genérico para consultar attestations, no específico de AML. Coinbase Verified Pools se limita a quienes ya están verificados en Coinbase, KYC estático puro. Permissioned Pools de Uniswap Labs, documentado en julio de 2026, mantiene una allowlist on-chain controlada por el emisor del activo, verificada en cada swap y en cada aporte de liquidez, con lógica binaria de dirección autorizada o no.</w:t>
      </w:r>
    </w:p>
    <w:p>
      <w:pPr>
        <w:spacing w:after="80" w:before="60"/>
      </w:pPr>
      <w:r>
        <w:rPr>
          <w:rFonts w:ascii="Calibri" w:cs="Calibri" w:eastAsia="Calibri" w:hAnsi="Calibri"/>
          <w:b/>
          <w:bCs/>
          <w:i w:val="false"/>
          <w:iCs w:val="false"/>
          <w:color w:val="000000"/>
          <w:sz w:val="21"/>
          <w:szCs w:val="21"/>
        </w:rPr>
        <w:t xml:space="preserve">Grupo 2: Compliance institucional (AML/CFT con datos off-chain)</w:t>
      </w:r>
    </w:p>
    <w:p>
      <w:pPr>
        <w:spacing w:after="140" w:before="0" w:line="276"/>
      </w:pPr>
      <w:r>
        <w:rPr>
          <w:rFonts w:ascii="Calibri" w:cs="Calibri" w:eastAsia="Calibri" w:hAnsi="Calibri"/>
          <w:b w:val="false"/>
          <w:bCs w:val="false"/>
          <w:i w:val="false"/>
          <w:iCs w:val="false"/>
          <w:color w:val="000000"/>
          <w:sz w:val="21"/>
          <w:szCs w:val="21"/>
        </w:rPr>
        <w:t xml:space="preserve">PureFi Verifier Hook usa ZK-proofs con verificación por niveles basada en el volumen del swap, con un único issuer centralizado (AMLBot) y un score válido por 15 minutos, una fotografía puntual sin perfil acumulativo. Predicate, con USDL y Paxos, recibió un grant de Uniswap Foundation de USD 325.000 y produce attestations criptográficas off-chain evaluadas por una red de operadores, en producción en Ethereum Mainnet para wUSDL/USDC, con verificación binaria y sin behavioral scoring.</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1721"/>
        <w:gridCol w:w="1445"/>
        <w:gridCol w:w="1583"/>
        <w:gridCol w:w="964"/>
        <w:gridCol w:w="964"/>
        <w:gridCol w:w="1032"/>
        <w:gridCol w:w="1652"/>
      </w:tblGrid>
      <w:tr>
        <w:trPr>
          <w:tblHeader/>
        </w:trPr>
        <w:tc>
          <w:tcPr>
            <w:tcW w:type="dxa" w:w="1721"/>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Competidor</w:t>
            </w:r>
          </w:p>
        </w:tc>
        <w:tc>
          <w:tcPr>
            <w:tcW w:type="dxa" w:w="1445"/>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Hook activo</w:t>
            </w:r>
          </w:p>
        </w:tc>
        <w:tc>
          <w:tcPr>
            <w:tcW w:type="dxa" w:w="1583"/>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Tipo de scoring</w:t>
            </w:r>
          </w:p>
        </w:tc>
        <w:tc>
          <w:tcPr>
            <w:tcW w:type="dxa" w:w="96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Dynamic fee</w:t>
            </w:r>
          </w:p>
        </w:tc>
        <w:tc>
          <w:tcPr>
            <w:tcW w:type="dxa" w:w="96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afterSwap</w:t>
            </w:r>
          </w:p>
        </w:tc>
        <w:tc>
          <w:tcPr>
            <w:tcW w:type="dxa" w:w="103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Open protocol</w:t>
            </w:r>
          </w:p>
        </w:tc>
        <w:tc>
          <w:tcPr>
            <w:tcW w:type="dxa" w:w="165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Estado</w:t>
            </w:r>
          </w:p>
        </w:tc>
      </w:tr>
      <w:tr>
        <w:tc>
          <w:tcPr>
            <w:tcW w:type="dxa" w:w="1721"/>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PureFi</w:t>
            </w:r>
          </w:p>
        </w:tc>
        <w:tc>
          <w:tcPr>
            <w:tcW w:type="dxa" w:w="1445"/>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beforeSwap</w:t>
            </w:r>
          </w:p>
        </w:tc>
        <w:tc>
          <w:tcPr>
            <w:tcW w:type="dxa" w:w="1583"/>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Threshold por monto</w:t>
            </w:r>
          </w:p>
        </w:tc>
        <w:tc>
          <w:tcPr>
            <w:tcW w:type="dxa" w:w="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03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Parcial</w:t>
            </w:r>
          </w:p>
        </w:tc>
        <w:tc>
          <w:tcPr>
            <w:tcW w:type="dxa" w:w="1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Mainnet (UFI/BNB)</w:t>
            </w:r>
          </w:p>
        </w:tc>
      </w:tr>
      <w:tr>
        <w:tc>
          <w:tcPr>
            <w:tcW w:type="dxa" w:w="1721"/>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Predicate/USDL</w:t>
            </w:r>
          </w:p>
        </w:tc>
        <w:tc>
          <w:tcPr>
            <w:tcW w:type="dxa" w:w="1445"/>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beforeSwap</w:t>
            </w:r>
          </w:p>
        </w:tc>
        <w:tc>
          <w:tcPr>
            <w:tcW w:type="dxa" w:w="1583"/>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Attestation estática</w:t>
            </w:r>
          </w:p>
        </w:tc>
        <w:tc>
          <w:tcPr>
            <w:tcW w:type="dxa" w:w="96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96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03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Mainnet (wUSDL/USDC)</w:t>
            </w:r>
          </w:p>
        </w:tc>
      </w:tr>
      <w:tr>
        <w:tc>
          <w:tcPr>
            <w:tcW w:type="dxa" w:w="1721"/>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Coinbase Verified</w:t>
            </w:r>
          </w:p>
        </w:tc>
        <w:tc>
          <w:tcPr>
            <w:tcW w:type="dxa" w:w="1445"/>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beforeSwap</w:t>
            </w:r>
          </w:p>
        </w:tc>
        <w:tc>
          <w:tcPr>
            <w:tcW w:type="dxa" w:w="1583"/>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KYC estático</w:t>
            </w:r>
          </w:p>
        </w:tc>
        <w:tc>
          <w:tcPr>
            <w:tcW w:type="dxa" w:w="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03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Mainnet</w:t>
            </w:r>
          </w:p>
        </w:tc>
      </w:tr>
      <w:tr>
        <w:tc>
          <w:tcPr>
            <w:tcW w:type="dxa" w:w="1721"/>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Civic Hook</w:t>
            </w:r>
          </w:p>
        </w:tc>
        <w:tc>
          <w:tcPr>
            <w:tcW w:type="dxa" w:w="1445"/>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beforeSwap</w:t>
            </w:r>
          </w:p>
        </w:tc>
        <w:tc>
          <w:tcPr>
            <w:tcW w:type="dxa" w:w="1583"/>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Identidad</w:t>
            </w:r>
          </w:p>
        </w:tc>
        <w:tc>
          <w:tcPr>
            <w:tcW w:type="dxa" w:w="96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96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03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Sí</w:t>
            </w:r>
          </w:p>
        </w:tc>
        <w:tc>
          <w:tcPr>
            <w:tcW w:type="dxa" w:w="1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Deployable</w:t>
            </w:r>
          </w:p>
        </w:tc>
      </w:tr>
      <w:tr>
        <w:tc>
          <w:tcPr>
            <w:tcW w:type="dxa" w:w="1721"/>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Violet Hooks</w:t>
            </w:r>
          </w:p>
        </w:tc>
        <w:tc>
          <w:tcPr>
            <w:tcW w:type="dxa" w:w="1445"/>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beforeSwap</w:t>
            </w:r>
          </w:p>
        </w:tc>
        <w:tc>
          <w:tcPr>
            <w:tcW w:type="dxa" w:w="1583"/>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Identidad</w:t>
            </w:r>
          </w:p>
        </w:tc>
        <w:tc>
          <w:tcPr>
            <w:tcW w:type="dxa" w:w="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03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Sí</w:t>
            </w:r>
          </w:p>
        </w:tc>
        <w:tc>
          <w:tcPr>
            <w:tcW w:type="dxa" w:w="1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Deployable</w:t>
            </w:r>
          </w:p>
        </w:tc>
      </w:tr>
      <w:tr>
        <w:tc>
          <w:tcPr>
            <w:tcW w:type="dxa" w:w="1721"/>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Levery</w:t>
            </w:r>
          </w:p>
        </w:tc>
        <w:tc>
          <w:tcPr>
            <w:tcW w:type="dxa" w:w="1445"/>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beforeSwap</w:t>
            </w:r>
          </w:p>
        </w:tc>
        <w:tc>
          <w:tcPr>
            <w:tcW w:type="dxa" w:w="1583"/>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KYC/KYB bancario</w:t>
            </w:r>
          </w:p>
        </w:tc>
        <w:tc>
          <w:tcPr>
            <w:tcW w:type="dxa" w:w="96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96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03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65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Institucional</w:t>
            </w:r>
          </w:p>
        </w:tc>
      </w:tr>
      <w:tr>
        <w:tc>
          <w:tcPr>
            <w:tcW w:type="dxa" w:w="1721"/>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Permissioned Pools</w:t>
            </w:r>
          </w:p>
        </w:tc>
        <w:tc>
          <w:tcPr>
            <w:tcW w:type="dxa" w:w="1445"/>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beforeSwap</w:t>
            </w:r>
          </w:p>
        </w:tc>
        <w:tc>
          <w:tcPr>
            <w:tcW w:type="dxa" w:w="1583"/>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Allowlist del emisor</w:t>
            </w:r>
          </w:p>
        </w:tc>
        <w:tc>
          <w:tcPr>
            <w:tcW w:type="dxa" w:w="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Sí</w:t>
            </w:r>
          </w:p>
        </w:tc>
        <w:tc>
          <w:tcPr>
            <w:tcW w:type="dxa" w:w="96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03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w:t>
            </w:r>
          </w:p>
        </w:tc>
        <w:tc>
          <w:tcPr>
            <w:tcW w:type="dxa" w:w="165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Documentado (Uniswap Labs)</w:t>
            </w:r>
          </w:p>
        </w:tc>
      </w:tr>
      <w:tr>
        <w:tc>
          <w:tcPr>
            <w:tcW w:type="dxa" w:w="1721"/>
            <w:shd w:fill="F2F5FA"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1"/>
                <w:szCs w:val="21"/>
              </w:rPr>
              <w:t xml:space="preserve">AML Hook</w:t>
            </w:r>
          </w:p>
        </w:tc>
        <w:tc>
          <w:tcPr>
            <w:tcW w:type="dxa" w:w="1445"/>
            <w:shd w:fill="F2F5FA"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1"/>
                <w:szCs w:val="21"/>
              </w:rPr>
              <w:t xml:space="preserve">beforeSwap + afterSwap</w:t>
            </w:r>
          </w:p>
        </w:tc>
        <w:tc>
          <w:tcPr>
            <w:tcW w:type="dxa" w:w="1583"/>
            <w:shd w:fill="F2F5FA"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1"/>
                <w:szCs w:val="21"/>
              </w:rPr>
              <w:t xml:space="preserve">Behavioral histórico</w:t>
            </w:r>
          </w:p>
        </w:tc>
        <w:tc>
          <w:tcPr>
            <w:tcW w:type="dxa" w:w="964"/>
            <w:shd w:fill="F2F5FA"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1"/>
                <w:szCs w:val="21"/>
              </w:rPr>
              <w:t xml:space="preserve">Sí</w:t>
            </w:r>
          </w:p>
        </w:tc>
        <w:tc>
          <w:tcPr>
            <w:tcW w:type="dxa" w:w="964"/>
            <w:shd w:fill="F2F5FA"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1"/>
                <w:szCs w:val="21"/>
              </w:rPr>
              <w:t xml:space="preserve">Sí</w:t>
            </w:r>
          </w:p>
        </w:tc>
        <w:tc>
          <w:tcPr>
            <w:tcW w:type="dxa" w:w="1032"/>
            <w:shd w:fill="F2F5FA"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1"/>
                <w:szCs w:val="21"/>
              </w:rPr>
              <w:t xml:space="preserve">Sí</w:t>
            </w:r>
          </w:p>
        </w:tc>
        <w:tc>
          <w:tcPr>
            <w:tcW w:type="dxa" w:w="1652"/>
            <w:shd w:fill="F2F5FA"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1"/>
                <w:szCs w:val="21"/>
              </w:rPr>
              <w:t xml:space="preserve">En desarrollo (UHI10)</w:t>
            </w:r>
          </w:p>
        </w:tc>
      </w:tr>
    </w:tbl>
    <w:p>
      <w:pPr>
        <w:spacing w:after="120" w:before="220"/>
      </w:pPr>
      <w:r>
        <w:rPr>
          <w:rFonts w:ascii="Calibri" w:cs="Calibri" w:eastAsia="Calibri" w:hAnsi="Calibri"/>
          <w:b/>
          <w:bCs/>
          <w:i w:val="false"/>
          <w:iCs w:val="false"/>
          <w:color w:val="000000"/>
          <w:sz w:val="25"/>
          <w:szCs w:val="25"/>
        </w:rPr>
        <w:t xml:space="preserve">5.2 Permissioned Pools, la solución nativa de Uniswap Labs</w:t>
      </w:r>
    </w:p>
    <w:p>
      <w:pPr>
        <w:spacing w:after="140" w:before="0" w:line="276"/>
      </w:pPr>
      <w:r>
        <w:rPr>
          <w:rFonts w:ascii="Calibri" w:cs="Calibri" w:eastAsia="Calibri" w:hAnsi="Calibri"/>
          <w:b w:val="false"/>
          <w:bCs w:val="false"/>
          <w:i w:val="false"/>
          <w:iCs w:val="false"/>
          <w:color w:val="000000"/>
          <w:sz w:val="21"/>
          <w:szCs w:val="21"/>
        </w:rPr>
        <w:t xml:space="preserve">En julio de 2026, durante el desarrollo de este proyecto dentro de UHI10, Uniswap Labs publicó la documentación oficial de Permissioned Pools. Es la primera solución de acceso restringido documentada por el propio equipo del protocolo, y por esa razón se convierte en el punto de referencia del ecosistema.</w:t>
      </w:r>
    </w:p>
    <w:p>
      <w:pPr>
        <w:spacing w:after="80" w:before="160"/>
      </w:pPr>
      <w:r>
        <w:rPr>
          <w:rFonts w:ascii="Calibri" w:cs="Calibri" w:eastAsia="Calibri" w:hAnsi="Calibri"/>
          <w:b/>
          <w:bCs/>
          <w:i w:val="false"/>
          <w:iCs w:val="false"/>
          <w:color w:val="000000"/>
          <w:sz w:val="22"/>
          <w:szCs w:val="22"/>
        </w:rPr>
        <w:t xml:space="preserve">Cómo funciona</w:t>
      </w:r>
    </w:p>
    <w:p>
      <w:pPr>
        <w:spacing w:after="140" w:before="0" w:line="276"/>
      </w:pPr>
      <w:r>
        <w:rPr>
          <w:rFonts w:ascii="Calibri" w:cs="Calibri" w:eastAsia="Calibri" w:hAnsi="Calibri"/>
          <w:b w:val="false"/>
          <w:bCs w:val="false"/>
          <w:i w:val="false"/>
          <w:iCs w:val="false"/>
          <w:color w:val="000000"/>
          <w:sz w:val="21"/>
          <w:szCs w:val="21"/>
        </w:rPr>
        <w:t xml:space="preserve">El emisor del activo mantiene una allowlist on-chain de direcciones autorizadas. Antes de cada swap y de cada aporte de liquidez, el hook consulta esa lista y permite o revierte la operación. Para que un token con restricciones de transferencia sea compatible con el PoolManager estándar de Uniswap v4, el sistema introduce un contrato wrapper llamado Permissions Adapter: el token restringido se envuelve al entrar al pool y se desenvuelve al salir, de modo que el tenedor siempre termina con el activo original. El emisor conserva la capacidad de pausar swaps y liquidar posiciones, y los NFT de posición de liquidez son no transferibles para impedir el bypass de la allowlist.</w:t>
      </w:r>
    </w:p>
    <w:p>
      <w:pPr>
        <w:spacing w:after="80" w:before="160"/>
      </w:pPr>
      <w:r>
        <w:rPr>
          <w:rFonts w:ascii="Calibri" w:cs="Calibri" w:eastAsia="Calibri" w:hAnsi="Calibri"/>
          <w:b/>
          <w:bCs/>
          <w:i w:val="false"/>
          <w:iCs w:val="false"/>
          <w:color w:val="000000"/>
          <w:sz w:val="22"/>
          <w:szCs w:val="22"/>
        </w:rPr>
        <w:t xml:space="preserve">Qué resuelve</w:t>
      </w:r>
    </w:p>
    <w:p>
      <w:pPr>
        <w:spacing w:after="140" w:before="0" w:line="276"/>
      </w:pPr>
      <w:r>
        <w:rPr>
          <w:rFonts w:ascii="Calibri" w:cs="Calibri" w:eastAsia="Calibri" w:hAnsi="Calibri"/>
          <w:b w:val="false"/>
          <w:bCs w:val="false"/>
          <w:i w:val="false"/>
          <w:iCs w:val="false"/>
          <w:color w:val="000000"/>
          <w:sz w:val="21"/>
          <w:szCs w:val="21"/>
        </w:rPr>
        <w:t xml:space="preserve">Resuelve el problema del emisor que necesita restringir quién puede tener exposición a su activo. Es la traducción a Uniswap v4 del modelo que Securitize ya aplicaba a nivel de token, y cubre correctamente los casos de activos tokenizados y activos regulados con restricciones de transferencia.</w:t>
      </w:r>
    </w:p>
    <w:p>
      <w:pPr>
        <w:spacing w:after="80" w:before="160"/>
      </w:pPr>
      <w:r>
        <w:rPr>
          <w:rFonts w:ascii="Calibri" w:cs="Calibri" w:eastAsia="Calibri" w:hAnsi="Calibri"/>
          <w:b/>
          <w:bCs/>
          <w:i w:val="false"/>
          <w:iCs w:val="false"/>
          <w:color w:val="000000"/>
          <w:sz w:val="22"/>
          <w:szCs w:val="22"/>
        </w:rPr>
        <w:t xml:space="preserve">Qué no resuelve</w:t>
      </w:r>
    </w:p>
    <w:p>
      <w:pPr>
        <w:spacing w:after="140" w:before="0" w:line="276"/>
      </w:pPr>
      <w:r>
        <w:rPr>
          <w:rFonts w:ascii="Calibri" w:cs="Calibri" w:eastAsia="Calibri" w:hAnsi="Calibri"/>
          <w:b w:val="false"/>
          <w:bCs w:val="false"/>
          <w:i w:val="false"/>
          <w:iCs w:val="false"/>
          <w:color w:val="000000"/>
          <w:sz w:val="21"/>
          <w:szCs w:val="21"/>
        </w:rPr>
        <w:t xml:space="preserve">La verificación es binaria, estática y determinada fuera del protocolo. El hook no calcula score, no observa comportamiento, no acumula perfil por wallet y no gradúa su respuesta. Una wallet incorporada a la allowlist tras un proceso KYC válido puede ejecutar structuring sistemático, layering o rotación acelerada de fondos dentro del pool sin que el sistema lo registre, porque la única pregunta que formula es si la dirección figura en la lista. El monitoreo continuo exigido por la Recomendación 10 del GAFI queda fuera de su alcance por diseño.</w:t>
      </w:r>
    </w:p>
    <w:p>
      <w:pPr>
        <w:spacing w:after="80" w:before="160"/>
      </w:pPr>
      <w:r>
        <w:rPr>
          <w:rFonts w:ascii="Calibri" w:cs="Calibri" w:eastAsia="Calibri" w:hAnsi="Calibri"/>
          <w:b/>
          <w:bCs/>
          <w:i w:val="false"/>
          <w:iCs w:val="false"/>
          <w:color w:val="000000"/>
          <w:sz w:val="22"/>
          <w:szCs w:val="22"/>
        </w:rPr>
        <w:t xml:space="preserve">Implicancia estratégica</w:t>
      </w:r>
    </w:p>
    <w:p>
      <w:pPr>
        <w:spacing w:after="140" w:before="0" w:line="276"/>
      </w:pPr>
      <w:r>
        <w:rPr>
          <w:rFonts w:ascii="Calibri" w:cs="Calibri" w:eastAsia="Calibri" w:hAnsi="Calibri"/>
          <w:b w:val="false"/>
          <w:bCs w:val="false"/>
          <w:i w:val="false"/>
          <w:iCs w:val="false"/>
          <w:color w:val="000000"/>
          <w:sz w:val="21"/>
          <w:szCs w:val="21"/>
        </w:rPr>
        <w:t xml:space="preserve">Permissioned Pools no compite con AML Hook, define el piso sobre el que AML Hook construye. Es control de acceso, y AML Hook es monitoreo conductual. Un pool puede adoptar ambos, y la combinación es más sólida que cualquiera de los dos por separado. Su publicación oficial aporta además un argumento externo de validación, ya que el equipo que construye Uniswap v4 reconoce que el compliance a nivel de pool es una necesidad real del ecosistema.</w:t>
      </w:r>
    </w:p>
    <w:p>
      <w:pPr>
        <w:spacing w:after="140" w:before="280"/>
      </w:pPr>
      <w:r>
        <w:rPr>
          <w:rFonts w:ascii="Calibri" w:cs="Calibri" w:eastAsia="Calibri" w:hAnsi="Calibri"/>
          <w:b/>
          <w:bCs/>
          <w:i w:val="false"/>
          <w:iCs w:val="false"/>
          <w:color w:val="000000"/>
          <w:sz w:val="30"/>
          <w:szCs w:val="30"/>
        </w:rPr>
        <w:t xml:space="preserve">6. Mercado Objetivo y Clientes</w:t>
      </w:r>
    </w:p>
    <w:p>
      <w:pPr>
        <w:spacing w:after="120" w:before="220"/>
      </w:pPr>
      <w:r>
        <w:rPr>
          <w:rFonts w:ascii="Calibri" w:cs="Calibri" w:eastAsia="Calibri" w:hAnsi="Calibri"/>
          <w:b/>
          <w:bCs/>
          <w:i w:val="false"/>
          <w:iCs w:val="false"/>
          <w:color w:val="000000"/>
          <w:sz w:val="25"/>
          <w:szCs w:val="25"/>
        </w:rPr>
        <w:t xml:space="preserve">6.1 El Tamaño del Mercado</w:t>
      </w:r>
    </w:p>
    <w:p>
      <w:pPr>
        <w:spacing w:after="140" w:before="0" w:line="276"/>
      </w:pPr>
      <w:r>
        <w:rPr>
          <w:rFonts w:ascii="Calibri" w:cs="Calibri" w:eastAsia="Calibri" w:hAnsi="Calibri"/>
          <w:b w:val="false"/>
          <w:bCs w:val="false"/>
          <w:i w:val="false"/>
          <w:iCs w:val="false"/>
          <w:color w:val="000000"/>
          <w:sz w:val="21"/>
          <w:szCs w:val="21"/>
        </w:rPr>
        <w:t xml:space="preserve">El argumento de mercado se construye en tres capas.</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1248"/>
        <w:gridCol w:w="2496"/>
        <w:gridCol w:w="5616"/>
      </w:tblGrid>
      <w:tr>
        <w:trPr>
          <w:tblHeader/>
        </w:trPr>
        <w:tc>
          <w:tcPr>
            <w:tcW w:type="dxa" w:w="1248"/>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Capa</w:t>
            </w:r>
          </w:p>
        </w:tc>
        <w:tc>
          <w:tcPr>
            <w:tcW w:type="dxa" w:w="249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Nombre</w:t>
            </w:r>
          </w:p>
        </w:tc>
        <w:tc>
          <w:tcPr>
            <w:tcW w:type="dxa" w:w="561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Tamaño</w:t>
            </w:r>
          </w:p>
        </w:tc>
      </w:tr>
      <w:tr>
        <w:tc>
          <w:tcPr>
            <w:tcW w:type="dxa" w:w="124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TAM</w:t>
            </w:r>
          </w:p>
        </w:tc>
        <w:tc>
          <w:tcPr>
            <w:tcW w:type="dxa" w:w="249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Mercado total addressable</w:t>
            </w:r>
          </w:p>
        </w:tc>
        <w:tc>
          <w:tcPr>
            <w:tcW w:type="dxa" w:w="561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El mercado de RWA tokenizados alcanza los USD 100.000 millones para fines de 2026, con proyecciones de BCG y Ripple que lo llevan a USD 18,9 billones para 2033.</w:t>
            </w:r>
          </w:p>
        </w:tc>
      </w:tr>
      <w:tr>
        <w:tc>
          <w:tcPr>
            <w:tcW w:type="dxa" w:w="124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SAM</w:t>
            </w:r>
          </w:p>
        </w:tc>
        <w:tc>
          <w:tcPr>
            <w:tcW w:type="dxa" w:w="249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Mercado serviceable</w:t>
            </w:r>
          </w:p>
        </w:tc>
        <w:tc>
          <w:tcPr>
            <w:tcW w:type="dxa" w:w="561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Segmento de crédito privado mid-market y RWAs no institucionales que necesitan compliance pero no tienen acceso a soluciones enterprise. Hoy son cerca de USD 5.000 millones en crédito privado on-chain activo fuera de los grandes actores. Para 2027, potencialmente USD 15.000 millones.</w:t>
            </w:r>
          </w:p>
        </w:tc>
      </w:tr>
      <w:tr>
        <w:tc>
          <w:tcPr>
            <w:tcW w:type="dxa" w:w="124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SOM</w:t>
            </w:r>
          </w:p>
        </w:tc>
        <w:tc>
          <w:tcPr>
            <w:tcW w:type="dxa" w:w="249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Mercado inicial</w:t>
            </w:r>
          </w:p>
        </w:tc>
        <w:tc>
          <w:tcPr>
            <w:tcW w:type="dxa" w:w="561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Los pools de Centrifuge, Goldfinch, Clearpool y protocolos equivalentes que ya tienen liquidez activa y necesitan diferenciarse en compliance para crecer. Son decenas de pools concretos, identificables, con TVL medible.</w:t>
            </w:r>
          </w:p>
        </w:tc>
      </w:tr>
    </w:tbl>
    <w:p>
      <w:pPr>
        <w:spacing w:after="120" w:before="220"/>
      </w:pPr>
      <w:r>
        <w:rPr>
          <w:rFonts w:ascii="Calibri" w:cs="Calibri" w:eastAsia="Calibri" w:hAnsi="Calibri"/>
          <w:b/>
          <w:bCs/>
          <w:i w:val="false"/>
          <w:iCs w:val="false"/>
          <w:color w:val="000000"/>
          <w:sz w:val="25"/>
          <w:szCs w:val="25"/>
        </w:rPr>
        <w:t xml:space="preserve">6.2 El Segmento Estratégico: Crédito Privado Mid-Market</w:t>
      </w:r>
    </w:p>
    <w:p>
      <w:pPr>
        <w:spacing w:after="140" w:before="0" w:line="276"/>
      </w:pPr>
      <w:r>
        <w:rPr>
          <w:rFonts w:ascii="Calibri" w:cs="Calibri" w:eastAsia="Calibri" w:hAnsi="Calibri"/>
          <w:b w:val="false"/>
          <w:bCs w:val="false"/>
          <w:i w:val="false"/>
          <w:iCs w:val="false"/>
          <w:color w:val="000000"/>
          <w:sz w:val="21"/>
          <w:szCs w:val="21"/>
        </w:rPr>
        <w:t xml:space="preserve">El crédito privado on-chain alcanzó USD 3.200 millones en marzo de 2026 (</w:t>
      </w:r>
      <w:hyperlink w:history="1" r:id="rIdmmpb5brgmc7mai_tj22cp">
        <w:r>
          <w:rPr>
            <w:rStyle w:val="Hyperlink"/>
            <w:rFonts w:ascii="Calibri" w:cs="Calibri" w:eastAsia="Calibri" w:hAnsi="Calibri"/>
            <w:sz w:val="21"/>
            <w:szCs w:val="21"/>
          </w:rPr>
          <w:t xml:space="preserve">link</w:t>
        </w:r>
      </w:hyperlink>
      <w:r>
        <w:rPr>
          <w:rFonts w:ascii="Calibri" w:cs="Calibri" w:eastAsia="Calibri" w:hAnsi="Calibri"/>
          <w:b w:val="false"/>
          <w:bCs w:val="false"/>
          <w:i w:val="false"/>
          <w:iCs w:val="false"/>
          <w:color w:val="000000"/>
          <w:sz w:val="21"/>
          <w:szCs w:val="21"/>
        </w:rPr>
        <w:t xml:space="preserve">), con un crecimiento del 180% interanual. Este segmento es el blanco correcto por tres razones específicas.</w:t>
      </w:r>
    </w:p>
    <w:p>
      <w:pPr>
        <w:spacing w:after="140" w:before="0" w:line="276"/>
      </w:pPr>
      <w:r>
        <w:rPr>
          <w:rFonts w:ascii="Calibri" w:cs="Calibri" w:eastAsia="Calibri" w:hAnsi="Calibri"/>
          <w:b/>
          <w:bCs/>
          <w:i w:val="false"/>
          <w:iCs w:val="false"/>
          <w:color w:val="000000"/>
          <w:sz w:val="21"/>
          <w:szCs w:val="21"/>
        </w:rPr>
        <w:t xml:space="preserve">Sin acceso a soluciones enterprise. </w:t>
      </w:r>
      <w:r>
        <w:rPr>
          <w:rFonts w:ascii="Calibri" w:cs="Calibri" w:eastAsia="Calibri" w:hAnsi="Calibri"/>
          <w:b w:val="false"/>
          <w:bCs w:val="false"/>
          <w:i w:val="false"/>
          <w:iCs w:val="false"/>
          <w:color w:val="000000"/>
          <w:sz w:val="21"/>
          <w:szCs w:val="21"/>
        </w:rPr>
        <w:t xml:space="preserve">No tienen acceso a Predicate. Emisores como Maple, Centrifuge y Goldfinch estructuran préstamos senior garantizados, financiamiento de PyMEs y receivables en formatos tokenizados. Ninguno tiene relación con Predicate ni el presupuesto de compliance de Paxos.</w:t>
      </w:r>
    </w:p>
    <w:p>
      <w:pPr>
        <w:spacing w:after="140" w:before="0" w:line="276"/>
      </w:pPr>
      <w:r>
        <w:rPr>
          <w:rFonts w:ascii="Calibri" w:cs="Calibri" w:eastAsia="Calibri" w:hAnsi="Calibri"/>
          <w:b/>
          <w:bCs/>
          <w:i w:val="false"/>
          <w:iCs w:val="false"/>
          <w:color w:val="000000"/>
          <w:sz w:val="21"/>
          <w:szCs w:val="21"/>
        </w:rPr>
        <w:t xml:space="preserve">La consolidación crea el gap. </w:t>
      </w:r>
      <w:r>
        <w:rPr>
          <w:rFonts w:ascii="Calibri" w:cs="Calibri" w:eastAsia="Calibri" w:hAnsi="Calibri"/>
          <w:b w:val="false"/>
          <w:bCs w:val="false"/>
          <w:i w:val="false"/>
          <w:iCs w:val="false"/>
          <w:color w:val="000000"/>
          <w:sz w:val="21"/>
          <w:szCs w:val="21"/>
        </w:rPr>
        <w:t xml:space="preserve">La consolidación del sector es una señal de oportunidad. Centrifuge vio caer su market share del 20,6% al 3,3%, y Goldfinch del 17,6% al 2,5%. Los protocolos que pierden terreno lo hacen en parte porque no pueden ofrecer las garantías de compliance que los pools institucionales de Maple sí ofrecen.</w:t>
      </w:r>
    </w:p>
    <w:p>
      <w:pPr>
        <w:spacing w:after="140" w:before="0" w:line="276"/>
      </w:pPr>
      <w:r>
        <w:rPr>
          <w:rFonts w:ascii="Calibri" w:cs="Calibri" w:eastAsia="Calibri" w:hAnsi="Calibri"/>
          <w:b/>
          <w:bCs/>
          <w:i w:val="false"/>
          <w:iCs w:val="false"/>
          <w:color w:val="000000"/>
          <w:sz w:val="21"/>
          <w:szCs w:val="21"/>
        </w:rPr>
        <w:t xml:space="preserve">Los yields justifican el costo de compliance. </w:t>
      </w:r>
      <w:r>
        <w:rPr>
          <w:rFonts w:ascii="Calibri" w:cs="Calibri" w:eastAsia="Calibri" w:hAnsi="Calibri"/>
          <w:b w:val="false"/>
          <w:bCs w:val="false"/>
          <w:i w:val="false"/>
          <w:iCs w:val="false"/>
          <w:color w:val="000000"/>
          <w:sz w:val="21"/>
          <w:szCs w:val="21"/>
        </w:rPr>
        <w:t xml:space="preserve">Los yields de crédito privado en 2026 están entre 8% y 12%, muy por encima del 4% a 5% disponible en Treasuries. Un pool que puede demostrar controles AML creíbles justifica ese diferencial de yield ante inversores institucionales que de otra forma no entrarían.</w:t>
      </w:r>
    </w:p>
    <w:p>
      <w:pPr>
        <w:spacing w:after="120" w:before="220"/>
      </w:pPr>
      <w:r>
        <w:rPr>
          <w:rFonts w:ascii="Calibri" w:cs="Calibri" w:eastAsia="Calibri" w:hAnsi="Calibri"/>
          <w:b/>
          <w:bCs/>
          <w:i w:val="false"/>
          <w:iCs w:val="false"/>
          <w:color w:val="000000"/>
          <w:sz w:val="25"/>
          <w:szCs w:val="25"/>
        </w:rPr>
        <w:t xml:space="preserve">6.3 Segmentos Adicionales</w:t>
      </w:r>
    </w:p>
    <w:p>
      <w:pPr>
        <w:spacing w:after="140" w:before="0" w:line="276"/>
      </w:pPr>
      <w:r>
        <w:rPr>
          <w:rFonts w:ascii="Calibri" w:cs="Calibri" w:eastAsia="Calibri" w:hAnsi="Calibri"/>
          <w:b/>
          <w:bCs/>
          <w:i w:val="false"/>
          <w:iCs w:val="false"/>
          <w:color w:val="000000"/>
          <w:sz w:val="21"/>
          <w:szCs w:val="21"/>
        </w:rPr>
        <w:t xml:space="preserve">Protocolos DeFi que quieren acceso institucional. </w:t>
      </w:r>
      <w:r>
        <w:rPr>
          <w:rFonts w:ascii="Calibri" w:cs="Calibri" w:eastAsia="Calibri" w:hAnsi="Calibri"/>
          <w:b w:val="false"/>
          <w:bCs w:val="false"/>
          <w:i w:val="false"/>
          <w:iCs w:val="false"/>
          <w:color w:val="000000"/>
          <w:sz w:val="21"/>
          <w:szCs w:val="21"/>
        </w:rPr>
        <w:t xml:space="preserve">Los fondos institucionales como BlackRock, Fidelity y Franklin Templeton no pueden interactuar con pools anónimos. Sus obligaciones regulatorias les impiden depositar en un contrato donde la contraparte puede ser una dirección sancionada o no verificada. Si un protocolo DeFi quiere que esos fondos sean LPs, necesita ofrecerles un pool con compliance embebido.</w:t>
      </w:r>
    </w:p>
    <w:p>
      <w:pPr>
        <w:spacing w:after="140" w:before="0" w:line="276"/>
      </w:pPr>
      <w:r>
        <w:rPr>
          <w:rFonts w:ascii="Calibri" w:cs="Calibri" w:eastAsia="Calibri" w:hAnsi="Calibri"/>
          <w:b/>
          <w:bCs/>
          <w:i w:val="false"/>
          <w:iCs w:val="false"/>
          <w:color w:val="000000"/>
          <w:sz w:val="21"/>
          <w:szCs w:val="21"/>
        </w:rPr>
        <w:t xml:space="preserve">Protocolos que emiten RWA. </w:t>
      </w:r>
      <w:r>
        <w:rPr>
          <w:rFonts w:ascii="Calibri" w:cs="Calibri" w:eastAsia="Calibri" w:hAnsi="Calibri"/>
          <w:b w:val="false"/>
          <w:bCs w:val="false"/>
          <w:i w:val="false"/>
          <w:iCs w:val="false"/>
          <w:color w:val="000000"/>
          <w:sz w:val="21"/>
          <w:szCs w:val="21"/>
        </w:rPr>
        <w:t xml:space="preserve">Si un protocolo tokeniza bonos del tesoro, real estate o facturas comerciales, el activo subyacente tiene obligaciones regulatorias de transferencia. El hook impone esas restricciones directamente en el pool de liquidez. El caso Securitize-BlackRock-Uniswap (BUIDL) es exactamente este modelo. Securitize implementa esas restricciones en el token mismo, dentro de la función transfer del estándar ERC-20 (Ethereum Request for Comments 20), lo que genera incompatibilidad con el PoolManager de Uniswap v4, que mueve balances de forma interna mediante ERC-6909 sin invocar transfer. Permissioned Pools resuelve esa incompatibilidad trasladando la verificación del token al pool mediante un contrato wrapper. El modelo de compliance subyacente es idéntico en ambos casos, una allowlist gestionada por el emisor. AML Hook opera sobre la capa siguiente, que ninguno de los dos cubre.</w:t>
      </w:r>
    </w:p>
    <w:p>
      <w:pPr>
        <w:spacing w:after="140" w:before="0" w:line="276"/>
      </w:pPr>
      <w:r>
        <w:rPr>
          <w:rFonts w:ascii="Calibri" w:cs="Calibri" w:eastAsia="Calibri" w:hAnsi="Calibri"/>
          <w:b/>
          <w:bCs/>
          <w:i w:val="false"/>
          <w:iCs w:val="false"/>
          <w:color w:val="000000"/>
          <w:sz w:val="21"/>
          <w:szCs w:val="21"/>
        </w:rPr>
        <w:t xml:space="preserve">Exchanges descentralizados bajo licencia VASP. </w:t>
      </w:r>
      <w:r>
        <w:rPr>
          <w:rFonts w:ascii="Calibri" w:cs="Calibri" w:eastAsia="Calibri" w:hAnsi="Calibri"/>
          <w:b w:val="false"/>
          <w:bCs w:val="false"/>
          <w:i w:val="false"/>
          <w:iCs w:val="false"/>
          <w:color w:val="000000"/>
          <w:sz w:val="21"/>
          <w:szCs w:val="21"/>
        </w:rPr>
        <w:t xml:space="preserve">MiCA en Europa exige que los proveedores de servicios de activos virtuales implementen KYC y screening de sanciones. Un DEX que opera bajo licencia MiCA necesita que sus pools tengan esas verificaciones. Sin el hook, el DEX tendría que hacer el screening off-chain y bloquear a nivel de interfaz, algo fácilmente evitable interactuando directamente con el contrato.</w:t>
      </w:r>
    </w:p>
    <w:p>
      <w:pPr>
        <w:spacing w:after="140" w:before="0" w:line="276"/>
      </w:pPr>
      <w:r>
        <w:rPr>
          <w:rFonts w:ascii="Calibri" w:cs="Calibri" w:eastAsia="Calibri" w:hAnsi="Calibri"/>
          <w:b/>
          <w:bCs/>
          <w:i w:val="false"/>
          <w:iCs w:val="false"/>
          <w:color w:val="000000"/>
          <w:sz w:val="21"/>
          <w:szCs w:val="21"/>
        </w:rPr>
        <w:t xml:space="preserve">Market makers institucionales con obligaciones AML propias. </w:t>
      </w:r>
      <w:r>
        <w:rPr>
          <w:rFonts w:ascii="Calibri" w:cs="Calibri" w:eastAsia="Calibri" w:hAnsi="Calibri"/>
          <w:b w:val="false"/>
          <w:bCs w:val="false"/>
          <w:i w:val="false"/>
          <w:iCs w:val="false"/>
          <w:color w:val="000000"/>
          <w:sz w:val="21"/>
          <w:szCs w:val="21"/>
        </w:rPr>
        <w:t xml:space="preserve">Jump Crypto, Wintermute y Cumberland son entidades reguladas que proveen liquidez en DeFi pero tienen obligaciones AML propias. Si el pool en el que operan no tiene ningún control, su exposición regulatoria es real y no pueden participar.</w:t>
      </w:r>
    </w:p>
    <w:p>
      <w:pPr>
        <w:spacing w:after="120" w:before="220"/>
      </w:pPr>
      <w:r>
        <w:rPr>
          <w:rFonts w:ascii="Calibri" w:cs="Calibri" w:eastAsia="Calibri" w:hAnsi="Calibri"/>
          <w:b/>
          <w:bCs/>
          <w:i w:val="false"/>
          <w:iCs w:val="false"/>
          <w:color w:val="000000"/>
          <w:sz w:val="25"/>
          <w:szCs w:val="25"/>
        </w:rPr>
        <w:t xml:space="preserve">6.4 Clientes Potenciales Concretos</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340"/>
        <w:gridCol w:w="2340"/>
        <w:gridCol w:w="4680"/>
      </w:tblGrid>
      <w:tr>
        <w:trPr>
          <w:tblHeader/>
        </w:trPr>
        <w:tc>
          <w:tcPr>
            <w:tcW w:type="dxa" w:w="234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Entidad</w:t>
            </w:r>
          </w:p>
        </w:tc>
        <w:tc>
          <w:tcPr>
            <w:tcW w:type="dxa" w:w="234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Categoría</w:t>
            </w:r>
          </w:p>
        </w:tc>
        <w:tc>
          <w:tcPr>
            <w:tcW w:type="dxa" w:w="468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Problema que AML Hook resuelve</w:t>
            </w:r>
          </w:p>
        </w:tc>
      </w:tr>
      <w:tr>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Centrifuge</w:t>
            </w:r>
          </w:p>
        </w:tc>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Crédito privado mid-market</w:t>
            </w:r>
          </w:p>
        </w:tc>
        <w:tc>
          <w:tcPr>
            <w:tcW w:type="dxa" w:w="46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Necesita compliance para competir con Maple y acceder a capital institucional sin el presupuesto de Paxos</w:t>
            </w:r>
          </w:p>
        </w:tc>
      </w:tr>
      <w:tr>
        <w:tc>
          <w:tcPr>
            <w:tcW w:type="dxa" w:w="234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Goldfinch</w:t>
            </w:r>
          </w:p>
        </w:tc>
        <w:tc>
          <w:tcPr>
            <w:tcW w:type="dxa" w:w="234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Crédito privado mid-market</w:t>
            </w:r>
          </w:p>
        </w:tc>
        <w:tc>
          <w:tcPr>
            <w:tcW w:type="dxa" w:w="46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Pérdida de market share correlacionada con la ausencia de garantías de compliance institucional</w:t>
            </w:r>
          </w:p>
        </w:tc>
      </w:tr>
      <w:tr>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Clearpool</w:t>
            </w:r>
          </w:p>
        </w:tc>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Crédito privado mid-market</w:t>
            </w:r>
          </w:p>
        </w:tc>
        <w:tc>
          <w:tcPr>
            <w:tcW w:type="dxa" w:w="46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Pools de liquidez no colateralizada que necesitan controles de contraparte</w:t>
            </w:r>
          </w:p>
        </w:tc>
      </w:tr>
      <w:tr>
        <w:tc>
          <w:tcPr>
            <w:tcW w:type="dxa" w:w="234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Ondo Finance</w:t>
            </w:r>
          </w:p>
        </w:tc>
        <w:tc>
          <w:tcPr>
            <w:tcW w:type="dxa" w:w="234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RWA institucional</w:t>
            </w:r>
          </w:p>
        </w:tc>
        <w:tc>
          <w:tcPr>
            <w:tcW w:type="dxa" w:w="46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Tokeniza bonos del Tesoro y opera con allowlists manuales por ausencia de compliance nativo</w:t>
            </w:r>
          </w:p>
        </w:tc>
      </w:tr>
      <w:tr>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Operadores europeos bajo MiCA</w:t>
            </w:r>
          </w:p>
        </w:tc>
        <w:tc>
          <w:tcPr>
            <w:tcW w:type="dxa" w:w="234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DEX regulados</w:t>
            </w:r>
          </w:p>
        </w:tc>
        <w:tc>
          <w:tcPr>
            <w:tcW w:type="dxa" w:w="46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Necesitan demostrar cumplimiento AML ante reguladores y hoy no tienen respuesta nativa en Uniswap v4</w:t>
            </w:r>
          </w:p>
        </w:tc>
      </w:tr>
      <w:tr>
        <w:tc>
          <w:tcPr>
            <w:tcW w:type="dxa" w:w="234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Coinbase / Kraken</w:t>
            </w:r>
          </w:p>
        </w:tc>
        <w:tc>
          <w:tcPr>
            <w:tcW w:type="dxa" w:w="234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Exchanges con ambición DeFi</w:t>
            </w:r>
          </w:p>
        </w:tc>
        <w:tc>
          <w:tcPr>
            <w:tcW w:type="dxa" w:w="46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Licencias que los obligan a mantener estándares AML incluso en operaciones descentralizadas</w:t>
            </w:r>
          </w:p>
        </w:tc>
      </w:tr>
    </w:tbl>
    <w:p>
      <w:pPr>
        <w:spacing w:after="140" w:before="280"/>
      </w:pPr>
      <w:r>
        <w:rPr>
          <w:rFonts w:ascii="Calibri" w:cs="Calibri" w:eastAsia="Calibri" w:hAnsi="Calibri"/>
          <w:b/>
          <w:bCs/>
          <w:i w:val="false"/>
          <w:iCs w:val="false"/>
          <w:color w:val="000000"/>
          <w:sz w:val="30"/>
          <w:szCs w:val="30"/>
        </w:rPr>
        <w:t xml:space="preserve">7. Protocolo Abierto y Modelo de Gobernanza</w:t>
      </w:r>
    </w:p>
    <w:p>
      <w:pPr>
        <w:spacing w:after="120" w:before="220"/>
      </w:pPr>
      <w:r>
        <w:rPr>
          <w:rFonts w:ascii="Calibri" w:cs="Calibri" w:eastAsia="Calibri" w:hAnsi="Calibri"/>
          <w:b/>
          <w:bCs/>
          <w:i w:val="false"/>
          <w:iCs w:val="false"/>
          <w:color w:val="000000"/>
          <w:sz w:val="25"/>
          <w:szCs w:val="25"/>
        </w:rPr>
        <w:t xml:space="preserve">7.1 Las Tres Dimensiones de Abierto</w:t>
      </w:r>
    </w:p>
    <w:p>
      <w:pPr>
        <w:spacing w:after="140" w:before="0" w:line="276"/>
      </w:pPr>
      <w:r>
        <w:rPr>
          <w:rFonts w:ascii="Calibri" w:cs="Calibri" w:eastAsia="Calibri" w:hAnsi="Calibri"/>
          <w:b/>
          <w:bCs/>
          <w:i w:val="false"/>
          <w:iCs w:val="false"/>
          <w:color w:val="000000"/>
          <w:sz w:val="21"/>
          <w:szCs w:val="21"/>
        </w:rPr>
        <w:t xml:space="preserve">Abierto a nivel de código. </w:t>
      </w:r>
      <w:r>
        <w:rPr>
          <w:rFonts w:ascii="Calibri" w:cs="Calibri" w:eastAsia="Calibri" w:hAnsi="Calibri"/>
          <w:b w:val="false"/>
          <w:bCs w:val="false"/>
          <w:i w:val="false"/>
          <w:iCs w:val="false"/>
          <w:color w:val="000000"/>
          <w:sz w:val="21"/>
          <w:szCs w:val="21"/>
        </w:rPr>
        <w:t xml:space="preserve">El contrato del hook es open source, verificable en Etherscan, forkeable y auditable. Un regulador o una institución financiera que quiera usar AML Hook necesita poder auditar exactamente qué hace el contrato.</w:t>
      </w:r>
    </w:p>
    <w:p>
      <w:pPr>
        <w:spacing w:after="140" w:before="0" w:line="276"/>
      </w:pPr>
      <w:r>
        <w:rPr>
          <w:rFonts w:ascii="Calibri" w:cs="Calibri" w:eastAsia="Calibri" w:hAnsi="Calibri"/>
          <w:b/>
          <w:bCs/>
          <w:i w:val="false"/>
          <w:iCs w:val="false"/>
          <w:color w:val="000000"/>
          <w:sz w:val="21"/>
          <w:szCs w:val="21"/>
        </w:rPr>
        <w:t xml:space="preserve">Abierto a nivel de operadores de pool. </w:t>
      </w:r>
      <w:r>
        <w:rPr>
          <w:rFonts w:ascii="Calibri" w:cs="Calibri" w:eastAsia="Calibri" w:hAnsi="Calibri"/>
          <w:b w:val="false"/>
          <w:bCs w:val="false"/>
          <w:i w:val="false"/>
          <w:iCs w:val="false"/>
          <w:color w:val="000000"/>
          <w:sz w:val="21"/>
          <w:szCs w:val="21"/>
        </w:rPr>
        <w:t xml:space="preserve">Cualquier persona o entidad puede crear un pool de Uniswap v4 que use AML Hook, a diferencia de Predicate, donde el framework implica una relación comercial con el equipo para el soporte de implementación. La existencia de Permissioned Pools como hook oficial de Uniswap Labs no modifica este punto, ya que son capas distintas del stack de compliance y un pool puede adoptar AML Hook con independencia de que utilice o no la solución de acceso de Labs.</w:t>
      </w:r>
    </w:p>
    <w:p>
      <w:pPr>
        <w:spacing w:after="140" w:before="0" w:line="276"/>
      </w:pPr>
      <w:r>
        <w:rPr>
          <w:rFonts w:ascii="Calibri" w:cs="Calibri" w:eastAsia="Calibri" w:hAnsi="Calibri"/>
          <w:b/>
          <w:bCs/>
          <w:i w:val="false"/>
          <w:iCs w:val="false"/>
          <w:color w:val="000000"/>
          <w:sz w:val="21"/>
          <w:szCs w:val="21"/>
        </w:rPr>
        <w:t xml:space="preserve">Abierto a nivel de proveedores de datos. </w:t>
      </w:r>
      <w:r>
        <w:rPr>
          <w:rFonts w:ascii="Calibri" w:cs="Calibri" w:eastAsia="Calibri" w:hAnsi="Calibri"/>
          <w:b w:val="false"/>
          <w:bCs w:val="false"/>
          <w:i w:val="false"/>
          <w:iCs w:val="false"/>
          <w:color w:val="000000"/>
          <w:sz w:val="21"/>
          <w:szCs w:val="21"/>
        </w:rPr>
        <w:t xml:space="preserve">La arquitectura permite que el operador del pool elija su oracle de riesgo, Chainalysis, AMLBot, TRM Labs o un proveedor propio. Cualquier proveedor que implemente la interfaz IComplianceOracle puede ser usado.</w:t>
      </w:r>
    </w:p>
    <w:p>
      <w:pPr>
        <w:spacing w:after="120" w:before="220"/>
      </w:pPr>
      <w:r>
        <w:rPr>
          <w:rFonts w:ascii="Calibri" w:cs="Calibri" w:eastAsia="Calibri" w:hAnsi="Calibri"/>
          <w:b/>
          <w:bCs/>
          <w:i w:val="false"/>
          <w:iCs w:val="false"/>
          <w:color w:val="000000"/>
          <w:sz w:val="25"/>
          <w:szCs w:val="25"/>
        </w:rPr>
        <w:t xml:space="preserve">7.2 Por Qué No Tener Token Propio</w:t>
      </w:r>
    </w:p>
    <w:p>
      <w:pPr>
        <w:spacing w:after="140" w:before="0" w:line="276"/>
      </w:pPr>
      <w:r>
        <w:rPr>
          <w:rFonts w:ascii="Calibri" w:cs="Calibri" w:eastAsia="Calibri" w:hAnsi="Calibri"/>
          <w:b w:val="false"/>
          <w:bCs w:val="false"/>
          <w:i w:val="false"/>
          <w:iCs w:val="false"/>
          <w:color w:val="000000"/>
          <w:sz w:val="21"/>
          <w:szCs w:val="21"/>
        </w:rPr>
        <w:t xml:space="preserve">La decisión de no emitir token propio responde a tres razones. La primera es regulatoria, ya que un token propio puede ser clasificado como security bajo el test de Howey. La segunda es de adopción, porque las instituciones financieras no quieren exposición a un token especulativo para usar compliance on-chain. Y la tercera es de neutralidad, dado que un token introduce un incentivo financiero del equipo que erosiona la credibilidad del sistema de compliance.</w:t>
      </w:r>
    </w:p>
    <w:p>
      <w:pPr>
        <w:spacing w:after="120" w:before="220"/>
      </w:pPr>
      <w:r>
        <w:rPr>
          <w:rFonts w:ascii="Calibri" w:cs="Calibri" w:eastAsia="Calibri" w:hAnsi="Calibri"/>
          <w:b/>
          <w:bCs/>
          <w:i w:val="false"/>
          <w:iCs w:val="false"/>
          <w:color w:val="000000"/>
          <w:sz w:val="25"/>
          <w:szCs w:val="25"/>
        </w:rPr>
        <w:t xml:space="preserve">7.3 Parámetros Inmutables y Gobernables</w:t>
      </w:r>
    </w:p>
    <w:p>
      <w:pPr>
        <w:spacing w:after="140" w:before="0" w:line="276"/>
      </w:pPr>
      <w:r>
        <w:rPr>
          <w:rFonts w:ascii="Calibri" w:cs="Calibri" w:eastAsia="Calibri" w:hAnsi="Calibri"/>
          <w:b w:val="false"/>
          <w:bCs w:val="false"/>
          <w:i w:val="false"/>
          <w:iCs w:val="false"/>
          <w:color w:val="000000"/>
          <w:sz w:val="21"/>
          <w:szCs w:val="21"/>
        </w:rPr>
        <w:t xml:space="preserve">El sistema separa con claridad lo inmutable de lo gobernable. La lógica central del contrato no se modifica, mientras que los parámetros de política se ajustan según la jurisdicción y el perfil de cada pool.</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4680"/>
        <w:gridCol w:w="4680"/>
      </w:tblGrid>
      <w:tr>
        <w:trPr>
          <w:tblHeader/>
        </w:trPr>
        <w:tc>
          <w:tcPr>
            <w:tcW w:type="dxa" w:w="468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Inmutable (no modificable)</w:t>
            </w:r>
          </w:p>
        </w:tc>
        <w:tc>
          <w:tcPr>
            <w:tcW w:type="dxa" w:w="468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Gobernable (ajustable por política interna)</w:t>
            </w:r>
          </w:p>
        </w:tc>
      </w:tr>
      <w:tr>
        <w:tc>
          <w:tcPr>
            <w:tcW w:type="dxa" w:w="46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Lógica de las tres salidas</w:t>
            </w:r>
          </w:p>
        </w:tc>
        <w:tc>
          <w:tcPr>
            <w:tcW w:type="dxa" w:w="46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Umbrales de score por salida (0-30 / 31-70 / 71-100)</w:t>
            </w:r>
          </w:p>
        </w:tc>
      </w:tr>
      <w:tr>
        <w:tc>
          <w:tcPr>
            <w:tcW w:type="dxa" w:w="46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Interfaz del oracle (IComplianceOracle)</w:t>
            </w:r>
          </w:p>
        </w:tc>
        <w:tc>
          <w:tcPr>
            <w:tcW w:type="dxa" w:w="46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Proveedor de oracle autorizado por pool</w:t>
            </w:r>
          </w:p>
        </w:tc>
      </w:tr>
      <w:tr>
        <w:tc>
          <w:tcPr>
            <w:tcW w:type="dxa" w:w="46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Mecanismo de verificación de firmas</w:t>
            </w:r>
          </w:p>
        </w:tc>
        <w:tc>
          <w:tcPr>
            <w:tcW w:type="dxa" w:w="468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Parámetros del fee diferencial</w:t>
            </w:r>
          </w:p>
        </w:tc>
      </w:tr>
      <w:tr>
        <w:tc>
          <w:tcPr>
            <w:tcW w:type="dxa" w:w="46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Bloqueo incondicional ante match OFAC</w:t>
            </w:r>
          </w:p>
        </w:tc>
        <w:tc>
          <w:tcPr>
            <w:tcW w:type="dxa" w:w="468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Política de unhosted wallets</w:t>
            </w:r>
          </w:p>
        </w:tc>
      </w:tr>
    </w:tbl>
    <w:p>
      <w:pPr>
        <w:spacing w:after="140" w:before="280"/>
      </w:pPr>
      <w:r>
        <w:rPr>
          <w:rFonts w:ascii="Calibri" w:cs="Calibri" w:eastAsia="Calibri" w:hAnsi="Calibri"/>
          <w:b/>
          <w:bCs/>
          <w:i w:val="false"/>
          <w:iCs w:val="false"/>
          <w:color w:val="000000"/>
          <w:sz w:val="30"/>
          <w:szCs w:val="30"/>
        </w:rPr>
        <w:t xml:space="preserve">8. Ecosistema de Herramientas y Proveedores</w:t>
      </w:r>
    </w:p>
    <w:p>
      <w:pPr>
        <w:spacing w:after="120" w:before="220"/>
      </w:pPr>
      <w:r>
        <w:rPr>
          <w:rFonts w:ascii="Calibri" w:cs="Calibri" w:eastAsia="Calibri" w:hAnsi="Calibri"/>
          <w:b/>
          <w:bCs/>
          <w:i w:val="false"/>
          <w:iCs w:val="false"/>
          <w:color w:val="000000"/>
          <w:sz w:val="25"/>
          <w:szCs w:val="25"/>
        </w:rPr>
        <w:t xml:space="preserve">8.1 Fuentes de Datos y Señales de Riesgo</w:t>
      </w:r>
    </w:p>
    <w:p>
      <w:pPr>
        <w:spacing w:after="140" w:before="0" w:line="276"/>
      </w:pPr>
      <w:r>
        <w:rPr>
          <w:rFonts w:ascii="Calibri" w:cs="Calibri" w:eastAsia="Calibri" w:hAnsi="Calibri"/>
          <w:b w:val="false"/>
          <w:bCs w:val="false"/>
          <w:i w:val="false"/>
          <w:iCs w:val="false"/>
          <w:color w:val="000000"/>
          <w:sz w:val="21"/>
          <w:szCs w:val="21"/>
        </w:rPr>
        <w:t xml:space="preserve">El oracle de AML Hook no depende de una sola fuente. La arquitectura óptima es un aggregator de señales ponderadas, donde cada fuente contribuye al score final con distinto peso según su confiabilidad.</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184"/>
        <w:gridCol w:w="5304"/>
        <w:gridCol w:w="1872"/>
      </w:tblGrid>
      <w:tr>
        <w:trPr>
          <w:tblHeader/>
        </w:trPr>
        <w:tc>
          <w:tcPr>
            <w:tcW w:type="dxa" w:w="218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Fuente</w:t>
            </w:r>
          </w:p>
        </w:tc>
        <w:tc>
          <w:tcPr>
            <w:tcW w:type="dxa" w:w="530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Descripción</w:t>
            </w:r>
          </w:p>
        </w:tc>
        <w:tc>
          <w:tcPr>
            <w:tcW w:type="dxa" w:w="187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Tipo</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OFAC SDN List</w:t>
            </w:r>
          </w:p>
        </w:tc>
        <w:tc>
          <w:tcPr>
            <w:tcW w:type="dxa" w:w="530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Lista del Tesoro de EEUU. Desde 2018 incluye direcciones crypto de forma explícita. Tornado Cash fue sancionado en agosto de 2022, primer smart contract sancionado y no solo una persona. Pública, actualizada en tiempo real, indexada on-chain por múltiples proyectos.</w:t>
            </w:r>
          </w:p>
        </w:tc>
        <w:tc>
          <w:tcPr>
            <w:tcW w:type="dxa" w:w="187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Oficial</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Chainalysis Oracle</w:t>
            </w:r>
          </w:p>
        </w:tc>
        <w:tc>
          <w:tcPr>
            <w:tcW w:type="dxa" w:w="530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Estándar institucional. Mapping on-chain de direcciones sancionadas consultable directamente en beforeSwap. Rápido. Su limitación es el output binario, sancionada o no.</w:t>
            </w:r>
          </w:p>
        </w:tc>
        <w:tc>
          <w:tcPr>
            <w:tcW w:type="dxa" w:w="187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Comercial</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TRM Labs / Elliptic</w:t>
            </w:r>
          </w:p>
        </w:tc>
        <w:tc>
          <w:tcPr>
            <w:tcW w:type="dxa" w:w="530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Cobertura comparable a Chainalysis. TRM es fuerte en Latinoamérica y gobiernos, Elliptic dominante en Europa. Integración principalmente off-chain.</w:t>
            </w:r>
          </w:p>
        </w:tc>
        <w:tc>
          <w:tcPr>
            <w:tcW w:type="dxa" w:w="187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Comercial</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Forta Network</w:t>
            </w:r>
          </w:p>
        </w:tc>
        <w:tc>
          <w:tcPr>
            <w:tcW w:type="dxa" w:w="530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Red de bots de detección distribuidos. Alertas en tiempo real sobre exploits, rug pulls y comportamiento anómalo, a veces con minutos de anticipación. Alertas públicas consultables vía API.</w:t>
            </w:r>
          </w:p>
        </w:tc>
        <w:tc>
          <w:tcPr>
            <w:tcW w:type="dxa" w:w="187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Descentralizado</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Ethereum Attestation Service</w:t>
            </w:r>
          </w:p>
        </w:tc>
        <w:tc>
          <w:tcPr>
            <w:tcW w:type="dxa" w:w="530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Protocolo para attestations on-chain sobre cualquier entidad. Las organizaciones publican attestations de riesgo de wallets. Base de un sistema de reputación descentralizado.</w:t>
            </w:r>
          </w:p>
        </w:tc>
        <w:tc>
          <w:tcPr>
            <w:tcW w:type="dxa" w:w="187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Descentralizado</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Hypernative</w:t>
            </w:r>
          </w:p>
        </w:tc>
        <w:tc>
          <w:tcPr>
            <w:tcW w:type="dxa" w:w="530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Alertas on-chain en tiempo real. Detecta exploits y comportamiento anómalo de forma anticipada. Fuente de señales para el oracle de AML Hook.</w:t>
            </w:r>
          </w:p>
        </w:tc>
        <w:tc>
          <w:tcPr>
            <w:tcW w:type="dxa" w:w="187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Comercial</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DeFiLlama Hacks DB</w:t>
            </w:r>
          </w:p>
        </w:tc>
        <w:tc>
          <w:tcPr>
            <w:tcW w:type="dxa" w:w="530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Registro público de todos los hacks de DeFi conocidos con las wallets involucradas. Bien mantenida y open source.</w:t>
            </w:r>
          </w:p>
        </w:tc>
        <w:tc>
          <w:tcPr>
            <w:tcW w:type="dxa" w:w="187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Comunidad</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FinCEN / FATF advisories</w:t>
            </w:r>
          </w:p>
        </w:tc>
        <w:tc>
          <w:tcPr>
            <w:tcW w:type="dxa" w:w="530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Definen las tipologías que los sistemas de compliance deben detectar. No son listas de direcciones sino patrones de comportamiento. Diseñan el behavioral scoring.</w:t>
            </w:r>
          </w:p>
        </w:tc>
        <w:tc>
          <w:tcPr>
            <w:tcW w:type="dxa" w:w="187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Regulatorio</w:t>
            </w:r>
          </w:p>
        </w:tc>
      </w:tr>
    </w:tbl>
    <w:p>
      <w:pPr>
        <w:spacing w:after="140" w:before="0" w:line="276"/>
      </w:pPr>
      <w:r>
        <w:rPr>
          <w:rFonts w:ascii="Calibri" w:cs="Calibri" w:eastAsia="Calibri" w:hAnsi="Calibri"/>
          <w:b w:val="false"/>
          <w:bCs w:val="false"/>
          <w:i w:val="false"/>
          <w:iCs w:val="false"/>
          <w:color w:val="000000"/>
          <w:sz w:val="21"/>
          <w:szCs w:val="21"/>
        </w:rPr>
        <w:t xml:space="preserve">Lo que diferencia a AML Hook no es tener acceso a estas fuentes, que Civic Hook y PureFi también usan. La diferencia es que las combina con behavioral scoring propio y produce un output graduado en vez de binario.</w:t>
      </w:r>
    </w:p>
    <w:p>
      <w:pPr>
        <w:spacing w:after="120" w:before="220"/>
      </w:pPr>
      <w:r>
        <w:rPr>
          <w:rFonts w:ascii="Calibri" w:cs="Calibri" w:eastAsia="Calibri" w:hAnsi="Calibri"/>
          <w:b/>
          <w:bCs/>
          <w:i w:val="false"/>
          <w:iCs w:val="false"/>
          <w:color w:val="000000"/>
          <w:sz w:val="25"/>
          <w:szCs w:val="25"/>
        </w:rPr>
        <w:t xml:space="preserve">8.2 Oráculos On-chain de Screening (Capa 1)</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184"/>
        <w:gridCol w:w="7176"/>
      </w:tblGrid>
      <w:tr>
        <w:trPr>
          <w:tblHeader/>
        </w:trPr>
        <w:tc>
          <w:tcPr>
            <w:tcW w:type="dxa" w:w="218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Proveedor</w:t>
            </w:r>
          </w:p>
        </w:tc>
        <w:tc>
          <w:tcPr>
            <w:tcW w:type="dxa" w:w="717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Descripción</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Chainalysis</w:t>
            </w:r>
          </w:p>
        </w:tc>
        <w:tc>
          <w:tcPr>
            <w:tcW w:type="dxa" w:w="71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Estándar de facto para exchanges regulados grandes. Mantiene on-chain un mapping actualizado de direcciones sancionadas. KYT (Know Your Transaction) y Reactor para investigación. Cobertura institucional líder.</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TRM Labs</w:t>
            </w:r>
          </w:p>
        </w:tc>
        <w:tc>
          <w:tcPr>
            <w:tcW w:type="dxa" w:w="717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API de riesgo con cobertura comparable. Expansión rápida en integraciones on-chain. Cobertura de riesgo más granular para exchanges y mixers.</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Elliptic</w:t>
            </w:r>
          </w:p>
        </w:tc>
        <w:tc>
          <w:tcPr>
            <w:tcW w:type="dxa" w:w="71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Fuerte en Europa, también usado por bancos con exposición cripto. Infraestructura on-chain menos madura que Chainalysis.</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Solidus Labs</w:t>
            </w:r>
          </w:p>
        </w:tc>
        <w:tc>
          <w:tcPr>
            <w:tcW w:type="dxa" w:w="717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Orientado específicamente a DeFi y exchanges. Detección de manipulación de mercado además de AML.</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0xAML y similares</w:t>
            </w:r>
          </w:p>
        </w:tc>
        <w:tc>
          <w:tcPr>
            <w:tcW w:type="dxa" w:w="71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Registros de direcciones sancionadas on-chain de acceso abierto. Capa alternativa sin dependencia de proveedor centralizado.</w:t>
            </w:r>
          </w:p>
        </w:tc>
      </w:tr>
    </w:tbl>
    <w:p>
      <w:pPr>
        <w:spacing w:after="120" w:before="220"/>
      </w:pPr>
      <w:r>
        <w:rPr>
          <w:rFonts w:ascii="Calibri" w:cs="Calibri" w:eastAsia="Calibri" w:hAnsi="Calibri"/>
          <w:b/>
          <w:bCs/>
          <w:i w:val="false"/>
          <w:iCs w:val="false"/>
          <w:color w:val="000000"/>
          <w:sz w:val="25"/>
          <w:szCs w:val="25"/>
        </w:rPr>
        <w:t xml:space="preserve">8.3 Soluciones KYC On-chain (Identidad con ZK)</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2184"/>
        <w:gridCol w:w="7176"/>
      </w:tblGrid>
      <w:tr>
        <w:trPr>
          <w:tblHeader/>
        </w:trPr>
        <w:tc>
          <w:tcPr>
            <w:tcW w:type="dxa" w:w="218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Proveedor</w:t>
            </w:r>
          </w:p>
        </w:tc>
        <w:tc>
          <w:tcPr>
            <w:tcW w:type="dxa" w:w="717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Descripción</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Polygon ID</w:t>
            </w:r>
          </w:p>
        </w:tc>
        <w:tc>
          <w:tcPr>
            <w:tcW w:type="dxa" w:w="71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Identidad con zero-knowledge proof (ZKP): permite demostrar que una wallet cumple con KYC sin exponer los datos personales subyacentes. El approach más alineado con una privacidad regulatoriamente defendible.</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Civic</w:t>
            </w:r>
          </w:p>
        </w:tc>
        <w:tc>
          <w:tcPr>
            <w:tcW w:type="dxa" w:w="717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KYC con credencial on-chain. Verificación de documentos de identidad, ubicación y humanidad. Emite un NFT no transferible, el Civic Pass.</w:t>
            </w:r>
          </w:p>
        </w:tc>
      </w:tr>
      <w:tr>
        <w:tc>
          <w:tcPr>
            <w:tcW w:type="dxa" w:w="218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Worldcoin</w:t>
            </w:r>
          </w:p>
        </w:tc>
        <w:tc>
          <w:tcPr>
            <w:tcW w:type="dxa" w:w="717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Verificación de humanidad biométrica. Caso de uso orientado a Sybil resistance más que a KYC regulatorio.</w:t>
            </w:r>
          </w:p>
        </w:tc>
      </w:tr>
      <w:tr>
        <w:tc>
          <w:tcPr>
            <w:tcW w:type="dxa" w:w="218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Notebook Labs / Holonym</w:t>
            </w:r>
          </w:p>
        </w:tc>
        <w:tc>
          <w:tcPr>
            <w:tcW w:type="dxa" w:w="717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ZK identity: el usuario prueba atributos, como no ser ciudadano de país sancionado o no estar en lista OFAC, sin revelar su identidad.</w:t>
            </w:r>
          </w:p>
        </w:tc>
      </w:tr>
    </w:tbl>
    <w:p>
      <w:pPr>
        <w:spacing w:after="120" w:before="220"/>
      </w:pPr>
      <w:r>
        <w:rPr>
          <w:rFonts w:ascii="Calibri" w:cs="Calibri" w:eastAsia="Calibri" w:hAnsi="Calibri"/>
          <w:b/>
          <w:bCs/>
          <w:i w:val="false"/>
          <w:iCs w:val="false"/>
          <w:color w:val="000000"/>
          <w:sz w:val="25"/>
          <w:szCs w:val="25"/>
        </w:rPr>
        <w:t xml:space="preserve">8.4 Infraestructura de Oracle Off-chain</w:t>
      </w:r>
    </w:p>
    <w:p>
      <w:pPr>
        <w:spacing w:after="140" w:before="0" w:line="276"/>
      </w:pPr>
      <w:r>
        <w:rPr>
          <w:rFonts w:ascii="Calibri" w:cs="Calibri" w:eastAsia="Calibri" w:hAnsi="Calibri"/>
          <w:b w:val="false"/>
          <w:bCs w:val="false"/>
          <w:i w:val="false"/>
          <w:iCs w:val="false"/>
          <w:color w:val="000000"/>
          <w:sz w:val="21"/>
          <w:szCs w:val="21"/>
        </w:rPr>
        <w:t xml:space="preserve">Para el behavioral scoring oracle hay dos caminos. Chainlink Functions y CCIP es la opción de producción, con un nodo que ejecuta la función de scoring off-chain y escribe el resultado on-chain con firma criptográfica verificable. El sistema propio con firma, recomendado para el prototipo UHI10, calcula el score en un servidor, lo firma con clave privada conocida y el hook verifica esa firma on-chain.</w:t>
      </w:r>
    </w:p>
    <w:p>
      <w:pPr>
        <w:spacing w:after="120" w:before="220"/>
      </w:pPr>
      <w:r>
        <w:rPr>
          <w:rFonts w:ascii="Calibri" w:cs="Calibri" w:eastAsia="Calibri" w:hAnsi="Calibri"/>
          <w:b/>
          <w:bCs/>
          <w:i w:val="false"/>
          <w:iCs w:val="false"/>
          <w:color w:val="000000"/>
          <w:sz w:val="25"/>
          <w:szCs w:val="25"/>
        </w:rPr>
        <w:t xml:space="preserve">8.5 Red de Denuncias Comunitarias</w:t>
      </w:r>
    </w:p>
    <w:p>
      <w:pPr>
        <w:spacing w:after="140" w:before="0" w:line="276"/>
      </w:pPr>
      <w:r>
        <w:rPr>
          <w:rFonts w:ascii="Calibri" w:cs="Calibri" w:eastAsia="Calibri" w:hAnsi="Calibri"/>
          <w:b w:val="false"/>
          <w:bCs w:val="false"/>
          <w:i w:val="false"/>
          <w:iCs w:val="false"/>
          <w:color w:val="000000"/>
          <w:sz w:val="21"/>
          <w:szCs w:val="21"/>
        </w:rPr>
        <w:t xml:space="preserve">Ningún competidor está construyendo esto todavía: una red de denuncia nativa de Uniswap v4. Los propios LPs de un pool pueden reportar comportamiento sospechoso on-chain. Esos reportes, cuando se acumulan de múltiples fuentes independientes sobre la misma wallet, aumentan su score de forma automática.</w:t>
      </w:r>
    </w:p>
    <w:p>
      <w:pPr>
        <w:spacing w:after="140" w:before="0" w:line="276"/>
      </w:pPr>
      <w:r>
        <w:rPr>
          <w:rFonts w:ascii="Calibri" w:cs="Calibri" w:eastAsia="Calibri" w:hAnsi="Calibri"/>
          <w:b w:val="false"/>
          <w:bCs w:val="false"/>
          <w:i w:val="false"/>
          <w:iCs w:val="false"/>
          <w:color w:val="000000"/>
          <w:sz w:val="21"/>
          <w:szCs w:val="21"/>
        </w:rPr>
        <w:t xml:space="preserve">El diseño resuelve tres decisiones para evitar que el mecanismo sea manipulado. En cuanto a quién puede denunciar, solo los LPs del pool con stake mínimo depositado, que tienen skin in the game porque si el pool sufre un rug pull ellos pierden, y el stake crea un costo económico para las denuncias maliciosas. En cuanto a cómo se valida, una denuncia sola no cambia el score, se necesita un threshold de denuncias independientes en una ventana de tiempo más un período de challenge donde la wallet denunciada puede disputar, y las denuncias antiguas pesan menos por decay temporal. Y en cuanto a su efecto, la denuncia sube el score lo suficiente para mover la wallet al tramo de fee diferencial, no al bloqueo directo, que solo se produce con múltiples denuncias validadas más las señales del behavioral oracle.</w:t>
      </w:r>
    </w:p>
    <w:p>
      <w:pPr>
        <w:spacing w:after="140" w:before="0" w:line="276"/>
      </w:pPr>
      <w:r>
        <w:rPr>
          <w:rFonts w:ascii="Calibri" w:cs="Calibri" w:eastAsia="Calibri" w:hAnsi="Calibri"/>
          <w:b w:val="false"/>
          <w:bCs w:val="false"/>
          <w:i w:val="false"/>
          <w:iCs w:val="false"/>
          <w:color w:val="000000"/>
          <w:sz w:val="21"/>
          <w:szCs w:val="21"/>
        </w:rPr>
        <w:t xml:space="preserve">El efecto de red que esto construye es el moat defensivo real de AML Hook. Cada pool que adopta el hook contribuye denuncias a un registro compartido entre todos los pools. Una wallet denunciada en el pool ETH/USDC también tiene score elevado en el pool WBTC/USDC. Con el tiempo, el registro acumula una inteligencia que ningún competidor puede replicar con rapidez, porque requiere adopción real del protocolo. Cuantos más pools, mejor la detección. Cuantos más LPs, más señales. Es un flywheel.</w:t>
      </w:r>
    </w:p>
    <w:p>
      <w:pPr>
        <w:spacing w:after="140" w:before="280"/>
      </w:pPr>
      <w:r>
        <w:rPr>
          <w:rFonts w:ascii="Calibri" w:cs="Calibri" w:eastAsia="Calibri" w:hAnsi="Calibri"/>
          <w:b/>
          <w:bCs/>
          <w:i w:val="false"/>
          <w:iCs w:val="false"/>
          <w:color w:val="000000"/>
          <w:sz w:val="30"/>
          <w:szCs w:val="30"/>
        </w:rPr>
        <w:t xml:space="preserve">9. Próximos Pasos y Decisiones Pendientes</w:t>
      </w:r>
    </w:p>
    <w:p>
      <w:pPr>
        <w:spacing w:after="120" w:before="220"/>
      </w:pPr>
      <w:r>
        <w:rPr>
          <w:rFonts w:ascii="Calibri" w:cs="Calibri" w:eastAsia="Calibri" w:hAnsi="Calibri"/>
          <w:b/>
          <w:bCs/>
          <w:i w:val="false"/>
          <w:iCs w:val="false"/>
          <w:color w:val="000000"/>
          <w:sz w:val="25"/>
          <w:szCs w:val="25"/>
        </w:rPr>
        <w:t xml:space="preserve">9.1 Decisión de Diseño Central</w:t>
      </w:r>
    </w:p>
    <w:p>
      <w:pPr>
        <w:spacing w:after="140" w:before="0" w:line="276"/>
      </w:pPr>
      <w:r>
        <w:rPr>
          <w:rFonts w:ascii="Calibri" w:cs="Calibri" w:eastAsia="Calibri" w:hAnsi="Calibri"/>
          <w:b w:val="false"/>
          <w:bCs w:val="false"/>
          <w:i w:val="false"/>
          <w:iCs w:val="false"/>
          <w:color w:val="000000"/>
          <w:sz w:val="21"/>
          <w:szCs w:val="21"/>
        </w:rPr>
        <w:t xml:space="preserve">El modelo de compliance tiene una decisión arquitectónica central: si el hook es permissive o restrictive por defecto.</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1716"/>
        <w:gridCol w:w="3744"/>
        <w:gridCol w:w="3900"/>
      </w:tblGrid>
      <w:tr>
        <w:trPr>
          <w:tblHeader/>
        </w:trPr>
        <w:tc>
          <w:tcPr>
            <w:tcW w:type="dxa" w:w="1716"/>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Modo</w:t>
            </w:r>
          </w:p>
        </w:tc>
        <w:tc>
          <w:tcPr>
            <w:tcW w:type="dxa" w:w="3744"/>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Descripción</w:t>
            </w:r>
          </w:p>
        </w:tc>
        <w:tc>
          <w:tcPr>
            <w:tcW w:type="dxa" w:w="390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Implicación estratégica</w:t>
            </w:r>
          </w:p>
        </w:tc>
      </w:tr>
      <w:tr>
        <w:tc>
          <w:tcPr>
            <w:tcW w:type="dxa" w:w="1716"/>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Permissive</w:t>
            </w:r>
          </w:p>
        </w:tc>
        <w:tc>
          <w:tcPr>
            <w:tcW w:type="dxa" w:w="3744"/>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Permite el swap y solo bloquea wallets explícitamente en lista negra, como OFAC</w:t>
            </w:r>
          </w:p>
        </w:tc>
        <w:tc>
          <w:tcPr>
            <w:tcW w:type="dxa" w:w="390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Más compatible con DeFi permissionless. Más débil ante reguladores que exigen acción afirmativa.</w:t>
            </w:r>
          </w:p>
        </w:tc>
      </w:tr>
      <w:tr>
        <w:tc>
          <w:tcPr>
            <w:tcW w:type="dxa" w:w="1716"/>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Restrictive</w:t>
            </w:r>
          </w:p>
        </w:tc>
        <w:tc>
          <w:tcPr>
            <w:tcW w:type="dxa" w:w="3744"/>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Bloquea todo swap y solo permite wallets explícitamente autorizadas por whitelist</w:t>
            </w:r>
          </w:p>
        </w:tc>
        <w:tc>
          <w:tcPr>
            <w:tcW w:type="dxa" w:w="390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Más robusto regulatoriamente. Limita la liquidez y el acceso. Requiere onboarding previo de cada LP.</w:t>
            </w:r>
          </w:p>
        </w:tc>
      </w:tr>
    </w:tbl>
    <w:p>
      <w:pPr>
        <w:spacing w:after="140" w:before="0" w:line="276"/>
      </w:pPr>
      <w:r>
        <w:rPr>
          <w:rFonts w:ascii="Calibri" w:cs="Calibri" w:eastAsia="Calibri" w:hAnsi="Calibri"/>
          <w:b w:val="false"/>
          <w:bCs w:val="false"/>
          <w:i w:val="false"/>
          <w:iCs w:val="false"/>
          <w:color w:val="000000"/>
          <w:sz w:val="21"/>
          <w:szCs w:val="21"/>
        </w:rPr>
        <w:t xml:space="preserve">Esta decisión define el posicionamiento del producto y el mercado primario. La recomendación para el mercado mid-market identificado es el modo permissive con fee diferencial activo, más compatible con la experiencia DeFi y regulatoriamente defensible bajo el enfoque basado en riesgo del GAFI.</w:t>
      </w:r>
    </w:p>
    <w:p>
      <w:pPr>
        <w:spacing w:after="120" w:before="220"/>
      </w:pPr>
      <w:r>
        <w:rPr>
          <w:rFonts w:ascii="Calibri" w:cs="Calibri" w:eastAsia="Calibri" w:hAnsi="Calibri"/>
          <w:b/>
          <w:bCs/>
          <w:i w:val="false"/>
          <w:iCs w:val="false"/>
          <w:color w:val="000000"/>
          <w:sz w:val="25"/>
          <w:szCs w:val="25"/>
        </w:rPr>
        <w:t xml:space="preserve">9.2 Decisiones Operacionales Auditables</w:t>
      </w:r>
    </w:p>
    <w:p>
      <w:pPr>
        <w:spacing w:after="140" w:before="0" w:line="276"/>
      </w:pPr>
      <w:r>
        <w:rPr>
          <w:rFonts w:ascii="Calibri" w:cs="Calibri" w:eastAsia="Calibri" w:hAnsi="Calibri"/>
          <w:b w:val="false"/>
          <w:bCs w:val="false"/>
          <w:i w:val="false"/>
          <w:iCs w:val="false"/>
          <w:color w:val="000000"/>
          <w:sz w:val="21"/>
          <w:szCs w:val="21"/>
        </w:rPr>
        <w:t xml:space="preserve">Las siguientes decisiones deben documentarse como política interna, ya que son auditables por supervisores y potenciales socios institucionales.</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3432"/>
        <w:gridCol w:w="5928"/>
      </w:tblGrid>
      <w:tr>
        <w:trPr>
          <w:tblHeader/>
        </w:trPr>
        <w:tc>
          <w:tcPr>
            <w:tcW w:type="dxa" w:w="343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Decisión</w:t>
            </w:r>
          </w:p>
        </w:tc>
        <w:tc>
          <w:tcPr>
            <w:tcW w:type="dxa" w:w="5928"/>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Descripción</w:t>
            </w:r>
          </w:p>
        </w:tc>
      </w:tr>
      <w:tr>
        <w:tc>
          <w:tcPr>
            <w:tcW w:type="dxa" w:w="343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Definición de sujeto obligado</w:t>
            </w:r>
          </w:p>
        </w:tc>
        <w:tc>
          <w:tcPr>
            <w:tcW w:type="dxa" w:w="592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¿Quién en la estructura es el VASP responsable?</w:t>
            </w:r>
          </w:p>
        </w:tc>
      </w:tr>
      <w:tr>
        <w:tc>
          <w:tcPr>
            <w:tcW w:type="dxa" w:w="343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Jurisdicción de referencia</w:t>
            </w:r>
          </w:p>
        </w:tc>
        <w:tc>
          <w:tcPr>
            <w:tcW w:type="dxa" w:w="592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¿Qué ley nacional rige las obligaciones?</w:t>
            </w:r>
          </w:p>
        </w:tc>
      </w:tr>
      <w:tr>
        <w:tc>
          <w:tcPr>
            <w:tcW w:type="dxa" w:w="343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Umbral de N saltos para graph analysis</w:t>
            </w:r>
          </w:p>
        </w:tc>
        <w:tc>
          <w:tcPr>
            <w:tcW w:type="dxa" w:w="592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Justificado con base en el enfoque basado en riesgo (EBR)</w:t>
            </w:r>
          </w:p>
        </w:tc>
      </w:tr>
      <w:tr>
        <w:tc>
          <w:tcPr>
            <w:tcW w:type="dxa" w:w="343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Matriz de riesgo (HIGH/MEDIUM/LOW)</w:t>
            </w:r>
          </w:p>
        </w:tc>
        <w:tc>
          <w:tcPr>
            <w:tcW w:type="dxa" w:w="592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¿Qué risk score activa cada acción?</w:t>
            </w:r>
          </w:p>
        </w:tc>
      </w:tr>
      <w:tr>
        <w:tc>
          <w:tcPr>
            <w:tcW w:type="dxa" w:w="343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Política de unhosted wallets</w:t>
            </w:r>
          </w:p>
        </w:tc>
        <w:tc>
          <w:tcPr>
            <w:tcW w:type="dxa" w:w="592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¿Qué se exige antes de permitir retiros?</w:t>
            </w:r>
          </w:p>
        </w:tc>
      </w:tr>
      <w:tr>
        <w:tc>
          <w:tcPr>
            <w:tcW w:type="dxa" w:w="343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Política de STR</w:t>
            </w:r>
          </w:p>
        </w:tc>
        <w:tc>
          <w:tcPr>
            <w:tcW w:type="dxa" w:w="592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Umbral y proceso de reporte de operaciones sospechosas</w:t>
            </w:r>
          </w:p>
        </w:tc>
      </w:tr>
    </w:tbl>
    <w:p>
      <w:pPr>
        <w:spacing w:after="120" w:before="220"/>
      </w:pPr>
      <w:r>
        <w:rPr>
          <w:rFonts w:ascii="Calibri" w:cs="Calibri" w:eastAsia="Calibri" w:hAnsi="Calibri"/>
          <w:b/>
          <w:bCs/>
          <w:i w:val="false"/>
          <w:iCs w:val="false"/>
          <w:color w:val="000000"/>
          <w:sz w:val="25"/>
          <w:szCs w:val="25"/>
        </w:rPr>
        <w:t xml:space="preserve">9.3 Roadmap</w:t>
      </w:r>
    </w:p>
    <w:p>
      <w:pPr>
        <w:spacing w:after="140" w:before="0" w:line="276"/>
      </w:pPr>
      <w:r>
        <w:rPr>
          <w:rFonts w:ascii="Calibri" w:cs="Calibri" w:eastAsia="Calibri" w:hAnsi="Calibri"/>
          <w:b/>
          <w:bCs/>
          <w:i w:val="false"/>
          <w:iCs w:val="false"/>
          <w:color w:val="000000"/>
          <w:sz w:val="21"/>
          <w:szCs w:val="21"/>
        </w:rPr>
        <w:t xml:space="preserve">Semanas 1-2 (UHI10). </w:t>
      </w:r>
      <w:r>
        <w:rPr>
          <w:rFonts w:ascii="Calibri" w:cs="Calibri" w:eastAsia="Calibri" w:hAnsi="Calibri"/>
          <w:b w:val="false"/>
          <w:bCs w:val="false"/>
          <w:i w:val="false"/>
          <w:iCs w:val="false"/>
          <w:color w:val="000000"/>
          <w:sz w:val="21"/>
          <w:szCs w:val="21"/>
        </w:rPr>
        <w:t xml:space="preserve">Definición técnica del hook. Implementación de beforeSwap con la Capa 1 de screening estático.</w:t>
      </w:r>
    </w:p>
    <w:p>
      <w:pPr>
        <w:spacing w:after="140" w:before="0" w:line="276"/>
      </w:pPr>
      <w:r>
        <w:rPr>
          <w:rFonts w:ascii="Calibri" w:cs="Calibri" w:eastAsia="Calibri" w:hAnsi="Calibri"/>
          <w:b/>
          <w:bCs/>
          <w:i w:val="false"/>
          <w:iCs w:val="false"/>
          <w:color w:val="000000"/>
          <w:sz w:val="21"/>
          <w:szCs w:val="21"/>
        </w:rPr>
        <w:t xml:space="preserve">Semanas 3-4 (UHI10). </w:t>
      </w:r>
      <w:r>
        <w:rPr>
          <w:rFonts w:ascii="Calibri" w:cs="Calibri" w:eastAsia="Calibri" w:hAnsi="Calibri"/>
          <w:b w:val="false"/>
          <w:bCs w:val="false"/>
          <w:i w:val="false"/>
          <w:iCs w:val="false"/>
          <w:color w:val="000000"/>
          <w:sz w:val="21"/>
          <w:szCs w:val="21"/>
        </w:rPr>
        <w:t xml:space="preserve">Implementación del oracle off-chain mock para behavioral scoring. Integración de la Capa 2.</w:t>
      </w:r>
    </w:p>
    <w:p>
      <w:pPr>
        <w:spacing w:after="140" w:before="0" w:line="276"/>
      </w:pPr>
      <w:r>
        <w:rPr>
          <w:rFonts w:ascii="Calibri" w:cs="Calibri" w:eastAsia="Calibri" w:hAnsi="Calibri"/>
          <w:b/>
          <w:bCs/>
          <w:i w:val="false"/>
          <w:iCs w:val="false"/>
          <w:color w:val="000000"/>
          <w:sz w:val="21"/>
          <w:szCs w:val="21"/>
        </w:rPr>
        <w:t xml:space="preserve">Semanas 5-6 (UHI10). </w:t>
      </w:r>
      <w:r>
        <w:rPr>
          <w:rFonts w:ascii="Calibri" w:cs="Calibri" w:eastAsia="Calibri" w:hAnsi="Calibri"/>
          <w:b w:val="false"/>
          <w:bCs w:val="false"/>
          <w:i w:val="false"/>
          <w:iCs w:val="false"/>
          <w:color w:val="000000"/>
          <w:sz w:val="21"/>
          <w:szCs w:val="21"/>
        </w:rPr>
        <w:t xml:space="preserve">Lógica de fee diferencial. Capa 3 de decisión completa. Módulo de eventos para reporting.</w:t>
      </w:r>
    </w:p>
    <w:p>
      <w:pPr>
        <w:spacing w:after="140" w:before="0" w:line="276"/>
      </w:pPr>
      <w:r>
        <w:rPr>
          <w:rFonts w:ascii="Calibri" w:cs="Calibri" w:eastAsia="Calibri" w:hAnsi="Calibri"/>
          <w:b/>
          <w:bCs/>
          <w:i w:val="false"/>
          <w:iCs w:val="false"/>
          <w:color w:val="000000"/>
          <w:sz w:val="21"/>
          <w:szCs w:val="21"/>
        </w:rPr>
        <w:t xml:space="preserve">Semanas 7-8 (UHI10). </w:t>
      </w:r>
      <w:r>
        <w:rPr>
          <w:rFonts w:ascii="Calibri" w:cs="Calibri" w:eastAsia="Calibri" w:hAnsi="Calibri"/>
          <w:b w:val="false"/>
          <w:bCs w:val="false"/>
          <w:i w:val="false"/>
          <w:iCs w:val="false"/>
          <w:color w:val="000000"/>
          <w:sz w:val="21"/>
          <w:szCs w:val="21"/>
        </w:rPr>
        <w:t xml:space="preserve">Testnet deployment. Demo funcional. Preparación del pitch para el hackathon embebido.</w:t>
      </w:r>
    </w:p>
    <w:p>
      <w:pPr>
        <w:spacing w:after="140" w:before="0" w:line="276"/>
      </w:pPr>
      <w:r>
        <w:rPr>
          <w:rFonts w:ascii="Calibri" w:cs="Calibri" w:eastAsia="Calibri" w:hAnsi="Calibri"/>
          <w:b/>
          <w:bCs/>
          <w:i w:val="false"/>
          <w:iCs w:val="false"/>
          <w:color w:val="000000"/>
          <w:sz w:val="21"/>
          <w:szCs w:val="21"/>
        </w:rPr>
        <w:t xml:space="preserve">Post-UHI10. </w:t>
      </w:r>
      <w:r>
        <w:rPr>
          <w:rFonts w:ascii="Calibri" w:cs="Calibri" w:eastAsia="Calibri" w:hAnsi="Calibri"/>
          <w:b w:val="false"/>
          <w:bCs w:val="false"/>
          <w:i w:val="false"/>
          <w:iCs w:val="false"/>
          <w:color w:val="000000"/>
          <w:sz w:val="21"/>
          <w:szCs w:val="21"/>
        </w:rPr>
        <w:t xml:space="preserve">Búsqueda de co-founder técnico con experiencia Solidity. Auditoría de seguridad. Primeras conversaciones con protocolos mid-market como Centrifuge, Goldfinch y Clearpool.</w:t>
      </w:r>
    </w:p>
    <w:p>
      <w:pPr>
        <w:spacing w:after="120" w:before="220"/>
      </w:pPr>
      <w:r>
        <w:rPr>
          <w:rFonts w:ascii="Calibri" w:cs="Calibri" w:eastAsia="Calibri" w:hAnsi="Calibri"/>
          <w:b/>
          <w:bCs/>
          <w:i w:val="false"/>
          <w:iCs w:val="false"/>
          <w:color w:val="000000"/>
          <w:sz w:val="25"/>
          <w:szCs w:val="25"/>
        </w:rPr>
        <w:t xml:space="preserve">9.4 Evolución Arquitectónica Posterior: Verificabilidad del Cómputo Off-chain</w:t>
      </w:r>
    </w:p>
    <w:p>
      <w:pPr>
        <w:spacing w:after="140" w:before="0" w:line="276"/>
      </w:pPr>
      <w:r>
        <w:rPr>
          <w:rFonts w:ascii="Calibri" w:cs="Calibri" w:eastAsia="Calibri" w:hAnsi="Calibri"/>
          <w:b w:val="false"/>
          <w:bCs w:val="false"/>
          <w:i w:val="false"/>
          <w:iCs w:val="false"/>
          <w:color w:val="000000"/>
          <w:sz w:val="21"/>
          <w:szCs w:val="21"/>
        </w:rPr>
        <w:t xml:space="preserve">Esta sección documenta una línea de desarrollo identificada y deliberadamente excluida del alcance de UHI10. Se incorpora porque define la trayectoria técnica del producto y porque anticipa la pregunta que un evaluador técnico va a formular.</w:t>
      </w:r>
    </w:p>
    <w:p>
      <w:pPr>
        <w:spacing w:after="140" w:before="0" w:line="276"/>
      </w:pPr>
      <w:r>
        <w:rPr>
          <w:rFonts w:ascii="Calibri" w:cs="Calibri" w:eastAsia="Calibri" w:hAnsi="Calibri"/>
          <w:b w:val="false"/>
          <w:bCs w:val="false"/>
          <w:i w:val="false"/>
          <w:iCs w:val="false"/>
          <w:color w:val="000000"/>
          <w:sz w:val="21"/>
          <w:szCs w:val="21"/>
        </w:rPr>
        <w:t xml:space="preserve">Un contrato en la EVM (Ethereum Virtual Machine) solo puede leer el estado actual del blockchain, no su historia. No puede recorrer transacciones pasadas, consultar la actividad de una wallet en otros protocolos ni construir un grafo de contrapartes. El análisis de grafo que alimenta la Capa 2 es necesariamente off-chain, y esa limitación no admite solución por diseño de contrato. Es común a todas las soluciones del mercado.</w:t>
      </w:r>
    </w:p>
    <w:p>
      <w:pPr>
        <w:spacing w:after="140" w:before="0" w:line="276"/>
      </w:pPr>
      <w:r>
        <w:rPr>
          <w:rFonts w:ascii="Calibri" w:cs="Calibri" w:eastAsia="Calibri" w:hAnsi="Calibri"/>
          <w:b w:val="false"/>
          <w:bCs w:val="false"/>
          <w:i w:val="false"/>
          <w:iCs w:val="false"/>
          <w:color w:val="000000"/>
          <w:sz w:val="21"/>
          <w:szCs w:val="21"/>
        </w:rPr>
        <w:t xml:space="preserve">La pregunta relevante no es dónde se computa, sino en quién hay que confiar. AML Hook ya resuelve una parte, porque la detección de patrones de frecuencia y acumulación dentro del pool, structuring, velocidad de rotación y concentración de contraparte, se calcula íntegramente en el contrato mediante los contadores descriptos en la sección 3.9, sin intervención del oracle. Lo que resta es la verificabilidad del cómputo que sí es externo.</w:t>
      </w:r>
    </w:p>
    <w:p>
      <w:pPr>
        <w:spacing w:after="140" w:before="0" w:line="276"/>
      </w:pPr>
      <w:r>
        <w:rPr>
          <w:rFonts w:ascii="Calibri" w:cs="Calibri" w:eastAsia="Calibri" w:hAnsi="Calibri"/>
          <w:b w:val="false"/>
          <w:bCs w:val="false"/>
          <w:i w:val="false"/>
          <w:iCs w:val="false"/>
          <w:color w:val="000000"/>
          <w:sz w:val="21"/>
          <w:szCs w:val="21"/>
        </w:rPr>
        <w:t xml:space="preserve">La vía criptográfica es la prueba de conocimiento cero. El motor off-chain calcula el score y genera una Zero-Knowledge Proof que acredita que el cálculo se ejecutó correctamente sobre datos determinados, y el contrato verifica esa prueba on-chain. El cómputo sigue siendo externo pero deja de requerir confianza, porque el operador del oracle no puede alterar el resultado sin que la verificación falle. Conviene precisar la diferencia con PureFi, que también emplea ZK: PureFi lo usa para acreditar que el usuario posee una credencial válida sin revelar su identidad, lo que es privacidad y no prueba que el cálculo de riesgo sea correcto. La aplicación propuesta aquí es verificabilidad del cómputo, un problema distinto y no resuelto por ningún actor del espacio. La razón de la exclusión es de esfuerzo, no de arquitectura, ya que diseñar un circuito ZK para análisis de grafo es un proyecto autónomo fuera del alcance de ocho semanas.</w:t>
      </w:r>
    </w:p>
    <w:p>
      <w:pPr>
        <w:spacing w:after="140" w:before="0" w:line="276"/>
      </w:pPr>
      <w:r>
        <w:rPr>
          <w:rFonts w:ascii="Calibri" w:cs="Calibri" w:eastAsia="Calibri" w:hAnsi="Calibri"/>
          <w:b w:val="false"/>
          <w:bCs w:val="false"/>
          <w:i w:val="false"/>
          <w:iCs w:val="false"/>
          <w:color w:val="000000"/>
          <w:sz w:val="21"/>
          <w:szCs w:val="21"/>
        </w:rPr>
        <w:t xml:space="preserve">Hay dos alternativas intermedias identificadas. Un modelo optimista con período de disputa, donde el oracle publica el score con stake depositado y cualquier participante puede impugnarlo dentro de una ventana presentando evidencia, perdiendo el stake si la impugnación prospera, de modo que la confianza no se elimina sino que se vuelve económicamente costosa de traicionar. Y una agregación de fuentes múltiples, donde el contrato consulta N oracles independientes y computa la mediana on-chain, lo que reduce el punto único de falla aunque no resuelva la verificabilidad de cada fuente.</w:t>
      </w:r>
    </w:p>
    <w:p>
      <w:pPr>
        <w:spacing w:after="140" w:before="0" w:line="276"/>
      </w:pPr>
      <w:r>
        <w:rPr>
          <w:rFonts w:ascii="Calibri" w:cs="Calibri" w:eastAsia="Calibri" w:hAnsi="Calibri"/>
          <w:b w:val="false"/>
          <w:bCs w:val="false"/>
          <w:i w:val="false"/>
          <w:iCs w:val="false"/>
          <w:color w:val="000000"/>
          <w:sz w:val="21"/>
          <w:szCs w:val="21"/>
        </w:rPr>
        <w:t xml:space="preserve">La interfaz IComplianceOracle está definida de modo que reemplazar el mecanismo de verificación de firma por verificación de prueba criptográfica no requiere modificar el contrato del hook. El cambio ocurre en la implementación del oracle, no en la lógica de decisión. Esa separación es una decisión de diseño deliberada, y es lo que permite postergar la implementación sin comprometer la trayectoria.</w:t>
      </w:r>
    </w:p>
    <w:p>
      <w:pPr>
        <w:spacing w:after="120" w:before="220"/>
      </w:pPr>
      <w:r>
        <w:rPr>
          <w:rFonts w:ascii="Calibri" w:cs="Calibri" w:eastAsia="Calibri" w:hAnsi="Calibri"/>
          <w:b/>
          <w:bCs/>
          <w:i w:val="false"/>
          <w:iCs w:val="false"/>
          <w:color w:val="000000"/>
          <w:sz w:val="25"/>
          <w:szCs w:val="25"/>
        </w:rPr>
        <w:t xml:space="preserve">9.5 Compliance Officer Agent (COA)</w:t>
      </w:r>
    </w:p>
    <w:p>
      <w:pPr>
        <w:spacing w:after="140" w:before="0" w:line="276"/>
      </w:pPr>
      <w:r>
        <w:rPr>
          <w:rFonts w:ascii="Calibri" w:cs="Calibri" w:eastAsia="Calibri" w:hAnsi="Calibri"/>
          <w:b w:val="false"/>
          <w:bCs w:val="false"/>
          <w:i w:val="false"/>
          <w:iCs w:val="false"/>
          <w:color w:val="000000"/>
          <w:sz w:val="21"/>
          <w:szCs w:val="21"/>
        </w:rPr>
        <w:t xml:space="preserve">Segunda línea de desarrollo identificada y excluida del alcance de UHI10. Cubre la capa de análisis interpretativo y documentación regulatoria que la lógica del hook no produce.</w:t>
      </w:r>
    </w:p>
    <w:p>
      <w:pPr>
        <w:spacing w:after="140" w:before="0" w:line="276"/>
      </w:pPr>
      <w:r>
        <w:rPr>
          <w:rFonts w:ascii="Calibri" w:cs="Calibri" w:eastAsia="Calibri" w:hAnsi="Calibri"/>
          <w:b w:val="false"/>
          <w:bCs w:val="false"/>
          <w:i w:val="false"/>
          <w:iCs w:val="false"/>
          <w:color w:val="000000"/>
          <w:sz w:val="21"/>
          <w:szCs w:val="21"/>
        </w:rPr>
        <w:t xml:space="preserve">El score es un número, y un número no explica por qué una dirección es riesgosa, no identifica qué patrón de comportamiento activó la alerta, y no produce documentación que el operador del pool pueda presentar ante un regulador. Ese vacío es regulatoriamente relevante. Cuando un supervisor audita a un operador, no pregunta solo cuántas transacciones bloqueó, pregunta por qué las bloqueó y exige evidencia de debida diligencia, que toma la forma de un reporte de operación sospechosa con razonamiento documentado. Un sistema que bloquea sin documentar cumple el control técnico pero no la obligación de reporte, y el operador queda expuesto aunque su sistema haya funcionado correctamente. Ninguna de las soluciones existentes del mercado produce documentación.</w:t>
      </w:r>
    </w:p>
    <w:p>
      <w:pPr>
        <w:spacing w:after="140" w:before="0" w:line="276"/>
      </w:pPr>
      <w:r>
        <w:rPr>
          <w:rFonts w:ascii="Calibri" w:cs="Calibri" w:eastAsia="Calibri" w:hAnsi="Calibri"/>
          <w:b w:val="false"/>
          <w:bCs w:val="false"/>
          <w:i w:val="false"/>
          <w:iCs w:val="false"/>
          <w:color w:val="000000"/>
          <w:sz w:val="21"/>
          <w:szCs w:val="21"/>
        </w:rPr>
        <w:t xml:space="preserve">El COA replica el proceso de un compliance officer humano sobre cada transacción relevante que pasa por AML Hook. Observa la operación, recopila contexto sobre la dirección y el origen de los fondos, aplica tipologías AML/CFT documentadas por GAFI y FinCEN, formula la hipótesis legítima que podría explicar el comportamiento y evalúa si la evidencia la refuta, concluye con un nivel de confianza, y documenta todo el razonamiento.</w:t>
      </w:r>
    </w:p>
    <w:tbl>
      <w:tblPr>
        <w:tblW w:type="dxa" w:w="9360"/>
        <w:tblBorders>
          <w:top w:val="single" w:color="B8C2D0" w:sz="2"/>
          <w:left w:val="single" w:color="B8C2D0" w:sz="2"/>
          <w:bottom w:val="single" w:color="B8C2D0" w:sz="2"/>
          <w:right w:val="single" w:color="B8C2D0" w:sz="2"/>
          <w:insideH w:val="single" w:color="D4DAE3" w:sz="2"/>
          <w:insideV w:val="single" w:color="D4DAE3" w:sz="2"/>
        </w:tblBorders>
      </w:tblPr>
      <w:tblGrid>
        <w:gridCol w:w="1872"/>
        <w:gridCol w:w="4368"/>
        <w:gridCol w:w="3120"/>
      </w:tblGrid>
      <w:tr>
        <w:trPr>
          <w:tblHeader/>
        </w:trPr>
        <w:tc>
          <w:tcPr>
            <w:tcW w:type="dxa" w:w="1872"/>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Categoría</w:t>
            </w:r>
          </w:p>
        </w:tc>
        <w:tc>
          <w:tcPr>
            <w:tcW w:type="dxa" w:w="4368"/>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Criterio</w:t>
            </w:r>
          </w:p>
        </w:tc>
        <w:tc>
          <w:tcPr>
            <w:tcW w:type="dxa" w:w="3120"/>
            <w:shd w:fill="DCE3F0" w:color="auto" w:val="clear"/>
            <w:tcMar>
              <w:top w:type="dxa" w:w="60"/>
              <w:left w:type="dxa" w:w="90"/>
              <w:bottom w:type="dxa" w:w="60"/>
              <w:right w:type="dxa" w:w="90"/>
            </w:tcMar>
          </w:tcPr>
          <w:p>
            <w:pPr>
              <w:spacing w:after="0" w:line="264"/>
            </w:pPr>
            <w:r>
              <w:rPr>
                <w:rFonts w:ascii="Calibri" w:cs="Calibri" w:eastAsia="Calibri" w:hAnsi="Calibri"/>
                <w:b/>
                <w:bCs/>
                <w:i w:val="false"/>
                <w:iCs w:val="false"/>
                <w:color w:val="000000"/>
                <w:sz w:val="20"/>
                <w:szCs w:val="20"/>
              </w:rPr>
              <w:t xml:space="preserve">Acción del agente</w:t>
            </w:r>
          </w:p>
        </w:tc>
      </w:tr>
      <w:tr>
        <w:tc>
          <w:tcPr>
            <w:tcW w:type="dxa" w:w="187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Verde</w:t>
            </w:r>
          </w:p>
        </w:tc>
        <w:tc>
          <w:tcPr>
            <w:tcW w:type="dxa" w:w="436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Score bajo, dirección con historial limpio</w:t>
            </w:r>
          </w:p>
        </w:tc>
        <w:tc>
          <w:tcPr>
            <w:tcW w:type="dxa" w:w="312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Registro mínimo, sin análisis</w:t>
            </w:r>
          </w:p>
        </w:tc>
      </w:tr>
      <w:tr>
        <w:tc>
          <w:tcPr>
            <w:tcW w:type="dxa" w:w="1872"/>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Amarilla</w:t>
            </w:r>
          </w:p>
        </w:tc>
        <w:tc>
          <w:tcPr>
            <w:tcW w:type="dxa" w:w="4368"/>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Score intermedio, o patrones inconsistentes con el score</w:t>
            </w:r>
          </w:p>
        </w:tc>
        <w:tc>
          <w:tcPr>
            <w:tcW w:type="dxa" w:w="3120"/>
            <w:shd w:fill="F2F5FA" w:color="auto" w:val="clear"/>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Análisis profundo y memo de contexto</w:t>
            </w:r>
          </w:p>
        </w:tc>
      </w:tr>
      <w:tr>
        <w:tc>
          <w:tcPr>
            <w:tcW w:type="dxa" w:w="1872"/>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Roja</w:t>
            </w:r>
          </w:p>
        </w:tc>
        <w:tc>
          <w:tcPr>
            <w:tcW w:type="dxa" w:w="4368"/>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Score alto, o bloqueo por match OFAC</w:t>
            </w:r>
          </w:p>
        </w:tc>
        <w:tc>
          <w:tcPr>
            <w:tcW w:type="dxa" w:w="3120"/>
            <w:tcMar>
              <w:top w:type="dxa" w:w="60"/>
              <w:left w:type="dxa" w:w="90"/>
              <w:bottom w:type="dxa" w:w="60"/>
              <w:right w:type="dxa" w:w="90"/>
            </w:tcMar>
          </w:tcPr>
          <w:p>
            <w:pPr>
              <w:spacing w:after="0" w:line="264"/>
            </w:pPr>
            <w:r>
              <w:rPr>
                <w:rFonts w:ascii="Calibri" w:cs="Calibri" w:eastAsia="Calibri" w:hAnsi="Calibri"/>
                <w:b w:val="false"/>
                <w:bCs w:val="false"/>
                <w:i w:val="false"/>
                <w:iCs w:val="false"/>
                <w:color w:val="000000"/>
                <w:sz w:val="21"/>
                <w:szCs w:val="21"/>
              </w:rPr>
              <w:t xml:space="preserve">Análisis completo y borrador de STR</w:t>
            </w:r>
          </w:p>
        </w:tc>
      </w:tr>
    </w:tbl>
    <w:p>
      <w:pPr>
        <w:spacing w:after="140" w:before="0" w:line="276"/>
      </w:pPr>
      <w:r>
        <w:rPr>
          <w:rFonts w:ascii="Calibri" w:cs="Calibri" w:eastAsia="Calibri" w:hAnsi="Calibri"/>
          <w:b w:val="false"/>
          <w:bCs w:val="false"/>
          <w:i w:val="false"/>
          <w:iCs w:val="false"/>
          <w:color w:val="000000"/>
          <w:sz w:val="21"/>
          <w:szCs w:val="21"/>
        </w:rPr>
        <w:t xml:space="preserve">La zona amarilla es la más relevante. Son las transacciones que el hook no bloqueó pero que merecen revisión, porque pueden indicar una evasión sofisticada que el score no capturó por completo. El memo de análisis es el output principal del agente, el equivalente digital del informe que un analista de compliance redacta tras revisar una alerta. Tiene un uso interno, como audit trail documentado para decidir sobre transacciones en zona gris, y un uso regulatorio, como base para la elaboración de un STR ante la autoridad competente. Su estructura es estandarizada en ocho secciones: identificación de la dirección, transacción analizada, historial, origen de fondos con rastreo de saltos, tipología identificada, hipótesis alternativa legítima, conclusión con nivel de confianza, y recomendación accionable.</w:t>
      </w:r>
    </w:p>
    <w:p>
      <w:pPr>
        <w:pBdr>
          <w:top w:val="single" w:color="CCCCCC" w:sz="4" w:space="6"/>
        </w:pBdr>
        <w:spacing w:after="0" w:before="280"/>
      </w:pPr>
      <w:r>
        <w:rPr>
          <w:rFonts w:ascii="Calibri" w:cs="Calibri" w:eastAsia="Calibri" w:hAnsi="Calibri"/>
          <w:b w:val="false"/>
          <w:bCs w:val="false"/>
          <w:i w:val="false"/>
          <w:iCs w:val="false"/>
          <w:color w:val="666666"/>
          <w:sz w:val="18"/>
          <w:szCs w:val="18"/>
        </w:rPr>
        <w:t xml:space="preserve">AML Hook. Versión 3.0. Julio 2026</w:t>
      </w:r>
    </w:p>
    <w:p>
      <w:pPr>
        <w:spacing w:after="0"/>
      </w:pPr>
      <w:r>
        <w:rPr>
          <w:rFonts w:ascii="Calibri" w:cs="Calibri" w:eastAsia="Calibri" w:hAnsi="Calibri"/>
          <w:b w:val="false"/>
          <w:bCs w:val="false"/>
          <w:i w:val="false"/>
          <w:iCs w:val="false"/>
          <w:color w:val="666666"/>
          <w:sz w:val="18"/>
          <w:szCs w:val="18"/>
        </w:rPr>
        <w:t xml:space="preserve">Gonzalo Emanuel Heredia. Uniswap Hook Incubator, Cohort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1155CC"/>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wwxu1hlihuu5u-wwpmb2" Type="http://schemas.openxmlformats.org/officeDocument/2006/relationships/hyperlink" Target="https://www.criptonoticias.com/tecnologia/informe-tokenizacion-uso-real-defi-dlresearch-defillama/" TargetMode="External"/><Relationship Id="rIdrxacjcpykbxywjeyiqa2k" Type="http://schemas.openxmlformats.org/officeDocument/2006/relationships/hyperlink" Target="https://www.tradingview.com/news/cointelegraph:ba6a6e5fe094b:0-kyc-uniswap-integration-deployed-by-purefi-but-not-everyone-is-convinced/" TargetMode="External"/><Relationship Id="rIdd8ehz5fexjvqth2gd_57y" Type="http://schemas.openxmlformats.org/officeDocument/2006/relationships/hyperlink" Target="https://www.criptonoticias.com/mercados/token-uniswap-100-dolares-2030-standard-chartered/" TargetMode="External"/><Relationship Id="rIddhfq6dv5vfkji0dv0kzfm" Type="http://schemas.openxmlformats.org/officeDocument/2006/relationships/hyperlink" Target="https://blog.uniswap.org/introducing-permissioned-pools-on-uniswap-v4?utm_medium=social&amp;utm_source=tw&amp;utm_campaign=permissioned-pools-202607" TargetMode="External"/><Relationship Id="rIdmmpb5brgmc7mai_tj22cp" Type="http://schemas.openxmlformats.org/officeDocument/2006/relationships/hyperlink" Target="https://www.linkedin.com/posts/solana_the-line-between-institutional-finance-and-activity-7439367540536934400-Oho7/"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2026-07-25T20:06:58.346Z</dcterms:created>
  <dcterms:modified xsi:type="dcterms:W3CDTF">2026-07-25T20:06:58.347Z</dcterms:modified>
</cp:coreProperties>
</file>

<file path=docProps/custom.xml><?xml version="1.0" encoding="utf-8"?>
<Properties xmlns="http://schemas.openxmlformats.org/officeDocument/2006/custom-properties" xmlns:vt="http://schemas.openxmlformats.org/officeDocument/2006/docPropsVTypes"/>
</file>