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b/>
          <w:bCs/>
          <w:i w:val="false"/>
          <w:iCs w:val="false"/>
          <w:color w:val="000000"/>
          <w:sz w:val="56"/>
          <w:szCs w:val="56"/>
        </w:rPr>
        <w:t xml:space="preserve">AML HOOK</w:t>
      </w:r>
    </w:p>
    <w:p>
      <w:pPr>
        <w:spacing w:after="60"/>
      </w:pPr>
      <w:r>
        <w:rPr>
          <w:rFonts w:ascii="Calibri" w:cs="Calibri" w:eastAsia="Calibri" w:hAnsi="Calibri"/>
          <w:b w:val="false"/>
          <w:bCs w:val="false"/>
          <w:i/>
          <w:iCs/>
          <w:color w:val="444444"/>
          <w:sz w:val="26"/>
          <w:szCs w:val="26"/>
        </w:rPr>
        <w:t xml:space="preserve">Modular Compliance Layer for Uniswap v4</w:t>
      </w:r>
    </w:p>
    <w:p>
      <w:pPr>
        <w:spacing w:after="140" w:before="0" w:line="276"/>
      </w:pPr>
      <w:r>
        <w:rPr>
          <w:rFonts w:ascii="Calibri" w:cs="Calibri" w:eastAsia="Calibri" w:hAnsi="Calibri"/>
          <w:b w:val="false"/>
          <w:bCs w:val="false"/>
          <w:i w:val="false"/>
          <w:iCs w:val="false"/>
          <w:color w:val="444444"/>
          <w:sz w:val="22"/>
          <w:szCs w:val="22"/>
        </w:rPr>
        <w:t xml:space="preserve">Product Document. Version 3.0</w:t>
      </w:r>
    </w:p>
    <w:p>
      <w:pPr>
        <w:spacing w:after="140" w:before="0" w:line="276"/>
      </w:pPr>
      <w:r>
        <w:rPr>
          <w:rFonts w:ascii="Calibri" w:cs="Calibri" w:eastAsia="Calibri" w:hAnsi="Calibri"/>
          <w:b w:val="false"/>
          <w:bCs w:val="false"/>
          <w:i w:val="false"/>
          <w:iCs w:val="false"/>
          <w:color w:val="000000"/>
          <w:sz w:val="22"/>
          <w:szCs w:val="22"/>
        </w:rPr>
        <w:t xml:space="preserve">Gonzalo Emanuel Heredia</w:t>
      </w:r>
    </w:p>
    <w:p>
      <w:pPr>
        <w:spacing w:after="200" w:before="0" w:line="276"/>
      </w:pPr>
      <w:r>
        <w:rPr>
          <w:rFonts w:ascii="Calibri" w:cs="Calibri" w:eastAsia="Calibri" w:hAnsi="Calibri"/>
          <w:b w:val="false"/>
          <w:bCs w:val="false"/>
          <w:i w:val="false"/>
          <w:iCs w:val="false"/>
          <w:color w:val="444444"/>
          <w:sz w:val="22"/>
          <w:szCs w:val="22"/>
        </w:rPr>
        <w:t xml:space="preserve">Uniswap Hook Incubator, Cohort 10 (UHI10). July 2026</w:t>
      </w:r>
    </w:p>
    <w:p>
      <w:pPr>
        <w:spacing w:after="140" w:before="280"/>
      </w:pPr>
      <w:r>
        <w:rPr>
          <w:rFonts w:ascii="Calibri" w:cs="Calibri" w:eastAsia="Calibri" w:hAnsi="Calibri"/>
          <w:b/>
          <w:bCs/>
          <w:i w:val="false"/>
          <w:iCs w:val="false"/>
          <w:color w:val="000000"/>
          <w:sz w:val="30"/>
          <w:szCs w:val="30"/>
        </w:rPr>
        <w:t xml:space="preserve">1. The Problem</w:t>
      </w:r>
    </w:p>
    <w:p>
      <w:pPr>
        <w:spacing w:after="140" w:before="0" w:line="276"/>
      </w:pPr>
      <w:r>
        <w:rPr>
          <w:rFonts w:ascii="Calibri" w:cs="Calibri" w:eastAsia="Calibri" w:hAnsi="Calibri"/>
          <w:b w:val="false"/>
          <w:bCs w:val="false"/>
          <w:i w:val="false"/>
          <w:iCs w:val="false"/>
          <w:color w:val="000000"/>
          <w:sz w:val="21"/>
          <w:szCs w:val="21"/>
        </w:rPr>
        <w:t xml:space="preserve">DeFi has a structural problem: it does not know who is operating in its pools or how they behaved before. Any address can swap with any other, without anyone recording what happened or why. There is no sanctions control, regulatory traceability, or behavioral history that distinguishes a legitimate actor from an illicit one.</w:t>
      </w:r>
    </w:p>
    <w:p>
      <w:pPr>
        <w:spacing w:after="140" w:before="0" w:line="276"/>
      </w:pPr>
      <w:r>
        <w:rPr>
          <w:rFonts w:ascii="Calibri" w:cs="Calibri" w:eastAsia="Calibri" w:hAnsi="Calibri"/>
          <w:b w:val="false"/>
          <w:bCs w:val="false"/>
          <w:i w:val="false"/>
          <w:iCs w:val="false"/>
          <w:color w:val="000000"/>
          <w:sz w:val="21"/>
          <w:szCs w:val="21"/>
        </w:rPr>
        <w:t xml:space="preserve">In Web2, the reputation of a financial actor is built over time, through credit history, transaction patterns, and relationships with known counterparties. That reputation determines the conditions under which it operates. In DeFi, every wallet starts from zero on every swap, with no memory and no accumulated consequences. There is no difference between a wallet with ten years of clean history and one created five minutes ago.</w:t>
      </w:r>
    </w:p>
    <w:p>
      <w:pPr>
        <w:spacing w:after="140" w:before="0" w:line="276"/>
      </w:pPr>
      <w:r>
        <w:rPr>
          <w:rFonts w:ascii="Calibri" w:cs="Calibri" w:eastAsia="Calibri" w:hAnsi="Calibri"/>
          <w:b w:val="false"/>
          <w:bCs w:val="false"/>
          <w:i w:val="false"/>
          <w:iCs w:val="false"/>
          <w:color w:val="000000"/>
          <w:sz w:val="21"/>
          <w:szCs w:val="21"/>
        </w:rPr>
        <w:t xml:space="preserve">For the retail world this does not matter. For the institutional world it is an absolute blocker. A regulated fund such as BlackRock BUIDL, a market maker such as Wintermute, or a European protocol under MiCA cannot operate in an environment where it cannot demonstrate that its counterparties comply with due diligence obligations. The regulators that oversee them require it. It is not a minor choice, it is a condition of existence.</w:t>
      </w:r>
    </w:p>
    <w:p>
      <w:pPr>
        <w:spacing w:after="140" w:before="0" w:line="276"/>
      </w:pPr>
      <w:r>
        <w:rPr>
          <w:rFonts w:ascii="Calibri" w:cs="Calibri" w:eastAsia="Calibri" w:hAnsi="Calibri"/>
          <w:b w:val="false"/>
          <w:bCs w:val="false"/>
          <w:i w:val="false"/>
          <w:iCs w:val="false"/>
          <w:color w:val="000000"/>
          <w:sz w:val="21"/>
          <w:szCs w:val="21"/>
        </w:rPr>
        <w:t xml:space="preserve">It is worth clarifying the scale of the argument. From the outside this is often seen as a fight between liquidity and compliance. Those of us who have spent years in compliance know that the real tension is between controlled liquidity and uncontrolled liquidity. This is not about making a system more expensive or blocking transactions, it is about enabling greater inflows of funds.</w:t>
      </w:r>
    </w:p>
    <w:p>
      <w:pPr>
        <w:spacing w:after="140" w:before="0" w:line="276"/>
      </w:pPr>
      <w:r>
        <w:rPr>
          <w:rFonts w:ascii="Calibri" w:cs="Calibri" w:eastAsia="Calibri" w:hAnsi="Calibri"/>
          <w:b w:val="false"/>
          <w:bCs w:val="false"/>
          <w:i w:val="false"/>
          <w:iCs w:val="false"/>
          <w:color w:val="000000"/>
          <w:sz w:val="21"/>
          <w:szCs w:val="21"/>
        </w:rPr>
        <w:t xml:space="preserve">Institutions are leaving DeFi because they cannot distinguish clean liquidity from that which is not. The result is that </w:t>
      </w:r>
      <w:hyperlink w:history="1" r:id="rIdqwwxu1hlihuu5u-wwpmb2">
        <w:r>
          <w:rPr>
            <w:rStyle w:val="Hyperlink"/>
            <w:rFonts w:ascii="Calibri" w:cs="Calibri" w:eastAsia="Calibri" w:hAnsi="Calibri"/>
            <w:sz w:val="21"/>
            <w:szCs w:val="21"/>
          </w:rPr>
          <w:t xml:space="preserve">there is USD 25 billion in RWAs on-chain that do not circulate in DeFi</w:t>
        </w:r>
      </w:hyperlink>
      <w:r>
        <w:rPr>
          <w:rFonts w:ascii="Calibri" w:cs="Calibri" w:eastAsia="Calibri" w:hAnsi="Calibri"/>
          <w:b w:val="false"/>
          <w:bCs w:val="false"/>
          <w:i w:val="false"/>
          <w:iCs w:val="false"/>
          <w:color w:val="000000"/>
          <w:sz w:val="21"/>
          <w:szCs w:val="21"/>
        </w:rPr>
        <w:t xml:space="preserve">. The missing layer is the one that enables institutions to participate with regulatory certainty.</w:t>
      </w:r>
    </w:p>
    <w:p>
      <w:pPr>
        <w:spacing w:after="120" w:before="220"/>
      </w:pPr>
      <w:r>
        <w:rPr>
          <w:rFonts w:ascii="Calibri" w:cs="Calibri" w:eastAsia="Calibri" w:hAnsi="Calibri"/>
          <w:b/>
          <w:bCs/>
          <w:i w:val="false"/>
          <w:iCs w:val="false"/>
          <w:color w:val="000000"/>
          <w:sz w:val="25"/>
          <w:szCs w:val="25"/>
        </w:rPr>
        <w:t xml:space="preserve">1.1 Why Existing Solutions Are Insufficient</w:t>
      </w:r>
    </w:p>
    <w:p>
      <w:pPr>
        <w:spacing w:after="140" w:before="0" w:line="276"/>
      </w:pPr>
      <w:r>
        <w:rPr>
          <w:rFonts w:ascii="Calibri" w:cs="Calibri" w:eastAsia="Calibri" w:hAnsi="Calibri"/>
          <w:b w:val="false"/>
          <w:bCs w:val="false"/>
          <w:i w:val="false"/>
          <w:iCs w:val="false"/>
          <w:color w:val="000000"/>
          <w:sz w:val="21"/>
          <w:szCs w:val="21"/>
        </w:rPr>
        <w:t xml:space="preserve">The problem has already been identified in the market and in recent launches. There are serious projects that have addressed it and do so well within their limits. Verifying identity before a swap is a necessary starting point for knowing the counterparty, but it is not sufficient.</w:t>
      </w:r>
    </w:p>
    <w:p>
      <w:pPr>
        <w:spacing w:after="140" w:before="0" w:line="276"/>
      </w:pPr>
      <w:r>
        <w:rPr>
          <w:rFonts w:ascii="Calibri" w:cs="Calibri" w:eastAsia="Calibri" w:hAnsi="Calibri"/>
          <w:b w:val="false"/>
          <w:bCs w:val="false"/>
          <w:i w:val="false"/>
          <w:iCs w:val="false"/>
          <w:color w:val="000000"/>
          <w:sz w:val="21"/>
          <w:szCs w:val="21"/>
        </w:rPr>
        <w:t xml:space="preserve">As will be shown throughout this document, existing solutions perform a check at the moment of the swap and issue a verdict: the wallet is authorized or it is not. They check whether an address appears on a sanctions list, or whether the user holds a valid KYC certificate. If everything is in order, the operation executes. That control is real and has value. The problem is that it stops there.</w:t>
      </w:r>
    </w:p>
    <w:p>
      <w:pPr>
        <w:spacing w:after="140" w:before="0" w:line="276"/>
      </w:pPr>
      <w:r>
        <w:rPr>
          <w:rFonts w:ascii="Calibri" w:cs="Calibri" w:eastAsia="Calibri" w:hAnsi="Calibri"/>
          <w:b w:val="false"/>
          <w:bCs w:val="false"/>
          <w:i w:val="false"/>
          <w:iCs w:val="false"/>
          <w:color w:val="000000"/>
          <w:sz w:val="21"/>
          <w:szCs w:val="21"/>
        </w:rPr>
        <w:t xml:space="preserve">Traditional banking institutions do not operate that way. Their regulators do not ask them to verify identity once and forget about it. They require continuous monitoring, that they observe the behavior of their counterparties over time, that they detect suspicious patterns even when no one appears on any list, and that they act on reasonable suspicion, even before certainty.</w:t>
      </w:r>
    </w:p>
    <w:p>
      <w:pPr>
        <w:spacing w:after="140" w:before="0" w:line="276"/>
      </w:pPr>
      <w:r>
        <w:rPr>
          <w:rFonts w:ascii="Calibri" w:cs="Calibri" w:eastAsia="Calibri" w:hAnsi="Calibri"/>
          <w:b w:val="false"/>
          <w:bCs w:val="false"/>
          <w:i w:val="false"/>
          <w:iCs w:val="false"/>
          <w:color w:val="000000"/>
          <w:sz w:val="21"/>
          <w:szCs w:val="21"/>
        </w:rPr>
        <w:t xml:space="preserve">A wallet can pass any identity check today and tomorrow execute forty small swaps in six hours to fragment a large amount, configuring a classic AML typology called structuring. No system that only looks at the moment of the swap will detect it. Nor does it detect when a new wallet receives funds from a high-risk wallet hours before operating, or when the transaction pattern is statistically consistent with an exit liquidity scheme.</w:t>
      </w:r>
    </w:p>
    <w:p>
      <w:pPr>
        <w:spacing w:after="140" w:before="0" w:line="276"/>
      </w:pPr>
      <w:r>
        <w:rPr>
          <w:rFonts w:ascii="Calibri" w:cs="Calibri" w:eastAsia="Calibri" w:hAnsi="Calibri"/>
          <w:b w:val="false"/>
          <w:bCs w:val="false"/>
          <w:i w:val="false"/>
          <w:iCs w:val="false"/>
          <w:color w:val="000000"/>
          <w:sz w:val="21"/>
          <w:szCs w:val="21"/>
        </w:rPr>
        <w:t xml:space="preserve">Hedi Navazan, Chief Compliance Officer at 1inch Labs, put it precisely: "risk assessment should be holistic, considering a variety of factors, not a single indicator such as transaction volume" (</w:t>
      </w:r>
      <w:hyperlink w:history="1" r:id="rIdrxacjcpykbxywjeyiqa2k">
        <w:r>
          <w:rPr>
            <w:rStyle w:val="Hyperlink"/>
            <w:rFonts w:ascii="Calibri" w:cs="Calibri" w:eastAsia="Calibri" w:hAnsi="Calibri"/>
            <w:sz w:val="21"/>
            <w:szCs w:val="21"/>
          </w:rPr>
          <w:t xml:space="preserve">link</w:t>
        </w:r>
      </w:hyperlink>
      <w:r>
        <w:rPr>
          <w:rFonts w:ascii="Calibri" w:cs="Calibri" w:eastAsia="Calibri" w:hAnsi="Calibri"/>
          <w:b w:val="false"/>
          <w:bCs w:val="false"/>
          <w:i w:val="false"/>
          <w:iCs w:val="false"/>
          <w:color w:val="000000"/>
          <w:sz w:val="21"/>
          <w:szCs w:val="21"/>
        </w:rPr>
        <w:t xml:space="preserve">). That critique does not invalidate existing solutions, it describes their limit. And that limit is exactly the space AML Hook occupies.</w:t>
      </w:r>
    </w:p>
    <w:p>
      <w:pPr>
        <w:spacing w:after="140" w:before="0" w:line="276"/>
      </w:pPr>
      <w:r>
        <w:rPr>
          <w:rFonts w:ascii="Calibri" w:cs="Calibri" w:eastAsia="Calibri" w:hAnsi="Calibri"/>
          <w:b w:val="false"/>
          <w:bCs w:val="false"/>
          <w:i w:val="false"/>
          <w:iCs w:val="false"/>
          <w:color w:val="000000"/>
          <w:sz w:val="21"/>
          <w:szCs w:val="21"/>
        </w:rPr>
        <w:t xml:space="preserve">DeFi needs a system that builds a film, not a photograph. One that accumulates the behavioral history of each wallet, detects emerging patterns, and calibrates its response according to the actual risk level. The same logic a bank applies when it decides between approving an operation, escalating it for review, or rejecting it.</w:t>
      </w:r>
    </w:p>
    <w:p>
      <w:pPr>
        <w:spacing w:after="120" w:before="220"/>
      </w:pPr>
      <w:r>
        <w:rPr>
          <w:rFonts w:ascii="Calibri" w:cs="Calibri" w:eastAsia="Calibri" w:hAnsi="Calibri"/>
          <w:b/>
          <w:bCs/>
          <w:i w:val="false"/>
          <w:iCs w:val="false"/>
          <w:color w:val="000000"/>
          <w:sz w:val="25"/>
          <w:szCs w:val="25"/>
        </w:rPr>
        <w:t xml:space="preserve">1.2 Why Now</w:t>
      </w:r>
    </w:p>
    <w:p>
      <w:pPr>
        <w:spacing w:after="140" w:before="0" w:line="276"/>
      </w:pPr>
      <w:r>
        <w:rPr>
          <w:rFonts w:ascii="Calibri" w:cs="Calibri" w:eastAsia="Calibri" w:hAnsi="Calibri"/>
          <w:b w:val="false"/>
          <w:bCs w:val="false"/>
          <w:i w:val="false"/>
          <w:iCs w:val="false"/>
          <w:color w:val="000000"/>
          <w:sz w:val="21"/>
          <w:szCs w:val="21"/>
        </w:rPr>
        <w:t xml:space="preserve">Institutional capital in DeFi is at an early stage. When that capital arrives at scale, what Standard Chartered anticipates with its </w:t>
      </w:r>
      <w:hyperlink w:history="1" r:id="rIdd8ehz5fexjvqth2gd_57y">
        <w:r>
          <w:rPr>
            <w:rStyle w:val="Hyperlink"/>
            <w:rFonts w:ascii="Calibri" w:cs="Calibri" w:eastAsia="Calibri" w:hAnsi="Calibri"/>
            <w:sz w:val="21"/>
            <w:szCs w:val="21"/>
          </w:rPr>
          <w:t xml:space="preserve">USD 100 price target for UNI</w:t>
        </w:r>
      </w:hyperlink>
      <w:r>
        <w:rPr>
          <w:rFonts w:ascii="Calibri" w:cs="Calibri" w:eastAsia="Calibri" w:hAnsi="Calibri"/>
          <w:b w:val="false"/>
          <w:bCs w:val="false"/>
          <w:i w:val="false"/>
          <w:iCs w:val="false"/>
          <w:color w:val="000000"/>
          <w:sz w:val="21"/>
          <w:szCs w:val="21"/>
        </w:rPr>
        <w:t xml:space="preserve">, it will need exactly the infrastructure this project builds. It is being built before demand becomes obvious to everyone.</w:t>
      </w:r>
    </w:p>
    <w:p>
      <w:pPr>
        <w:spacing w:after="140" w:before="0" w:line="276"/>
      </w:pPr>
      <w:r>
        <w:rPr>
          <w:rFonts w:ascii="Calibri" w:cs="Calibri" w:eastAsia="Calibri" w:hAnsi="Calibri"/>
          <w:b w:val="false"/>
          <w:bCs w:val="false"/>
          <w:i w:val="false"/>
          <w:iCs w:val="false"/>
          <w:color w:val="000000"/>
          <w:sz w:val="21"/>
          <w:szCs w:val="21"/>
        </w:rPr>
        <w:t xml:space="preserve">In July 2026, Uniswap Labs published the official documentation for </w:t>
      </w:r>
      <w:hyperlink w:history="1" r:id="rIddhfq6dv5vfkji0dv0kzfm">
        <w:r>
          <w:rPr>
            <w:rStyle w:val="Hyperlink"/>
            <w:rFonts w:ascii="Calibri" w:cs="Calibri" w:eastAsia="Calibri" w:hAnsi="Calibri"/>
            <w:sz w:val="21"/>
            <w:szCs w:val="21"/>
          </w:rPr>
          <w:t xml:space="preserve">Permissioned Pools</w:t>
        </w:r>
      </w:hyperlink>
      <w:r>
        <w:rPr>
          <w:rFonts w:ascii="Calibri" w:cs="Calibri" w:eastAsia="Calibri" w:hAnsi="Calibri"/>
          <w:b w:val="false"/>
          <w:bCs w:val="false"/>
          <w:i w:val="false"/>
          <w:iCs w:val="false"/>
          <w:color w:val="000000"/>
          <w:sz w:val="21"/>
          <w:szCs w:val="21"/>
        </w:rPr>
        <w:t xml:space="preserve">, its own native pool-level access control solution. That publication confirms that compliance on Uniswap v4 has stopped being a market hypothesis and has become a priority recognized by the team that builds the protocol. It also precisely delimits the space AML Hook occupies: the Labs solution addresses access control, not behavioral monitoring.</w:t>
      </w:r>
    </w:p>
    <w:tbl>
      <w:tblPr>
        <w:tblW w:type="dxa" w:w="9360"/>
        <w:tblBorders>
          <w:top w:val="single" w:color="8A97A8" w:sz="4"/>
          <w:left w:val="single" w:color="4A5568" w:sz="12"/>
          <w:bottom w:val="single" w:color="8A97A8" w:sz="4"/>
          <w:right w:val="single" w:color="8A97A8" w:sz="4"/>
          <w:insideH w:val="none"/>
          <w:insideV w:val="none"/>
        </w:tblBorders>
      </w:tblPr>
      <w:tblGrid>
        <w:gridCol w:w="9360"/>
      </w:tblGrid>
      <w:tr>
        <w:tc>
          <w:tcPr>
            <w:tcW w:type="dxa" w:w="9360"/>
            <w:shd w:fill="F7F9FC" w:color="auto" w:val="clear"/>
            <w:tcMar>
              <w:top w:type="dxa" w:w="120"/>
              <w:left w:type="dxa" w:w="160"/>
              <w:bottom w:type="dxa" w:w="120"/>
              <w:right w:type="dxa" w:w="160"/>
            </w:tcMar>
          </w:tcPr>
          <w:p>
            <w:pPr>
              <w:spacing w:after="80" w:line="276"/>
            </w:pPr>
            <w:r>
              <w:rPr>
                <w:rFonts w:ascii="Calibri" w:cs="Calibri" w:eastAsia="Calibri" w:hAnsi="Calibri"/>
                <w:b/>
                <w:bCs/>
                <w:i/>
                <w:iCs/>
                <w:color w:val="000000"/>
                <w:sz w:val="22"/>
                <w:szCs w:val="22"/>
              </w:rPr>
              <w:t xml:space="preserve">There is USD 25 billion in RWAs on-chain that do not circulate in DeFi. Financial institutions operate under continuous monitoring obligations that no existing hook can satisfy. A pool can receive the token of a static KYC provider and still finance terrorism or facilitate money laundering. A pool does not need to know who you are at the moment of the swap. It needs to know how you behaved over the last 100. No existing system gives them that within the protocol. None encourages good behavior or aligns the pool with AML best practices. AML Hook does. It favors investment and avoids fines.</w:t>
            </w:r>
          </w:p>
        </w:tc>
      </w:tr>
    </w:tbl>
    <w:p>
      <w:pPr>
        <w:spacing w:after="140" w:before="280"/>
      </w:pPr>
      <w:r>
        <w:rPr>
          <w:rFonts w:ascii="Calibri" w:cs="Calibri" w:eastAsia="Calibri" w:hAnsi="Calibri"/>
          <w:b/>
          <w:bCs/>
          <w:i w:val="false"/>
          <w:iCs w:val="false"/>
          <w:color w:val="000000"/>
          <w:sz w:val="30"/>
          <w:szCs w:val="30"/>
        </w:rPr>
        <w:t xml:space="preserve">2. The Product</w:t>
      </w:r>
    </w:p>
    <w:p>
      <w:pPr>
        <w:spacing w:after="120" w:before="220"/>
      </w:pPr>
      <w:r>
        <w:rPr>
          <w:rFonts w:ascii="Calibri" w:cs="Calibri" w:eastAsia="Calibri" w:hAnsi="Calibri"/>
          <w:b/>
          <w:bCs/>
          <w:i w:val="false"/>
          <w:iCs w:val="false"/>
          <w:color w:val="000000"/>
          <w:sz w:val="25"/>
          <w:szCs w:val="25"/>
        </w:rPr>
        <w:t xml:space="preserve">2.1 General Description</w:t>
      </w:r>
    </w:p>
    <w:p>
      <w:pPr>
        <w:spacing w:after="140" w:before="0" w:line="276"/>
      </w:pPr>
      <w:r>
        <w:rPr>
          <w:rFonts w:ascii="Calibri" w:cs="Calibri" w:eastAsia="Calibri" w:hAnsi="Calibri"/>
          <w:b w:val="false"/>
          <w:bCs w:val="false"/>
          <w:i w:val="false"/>
          <w:iCs w:val="false"/>
          <w:color w:val="000000"/>
          <w:sz w:val="21"/>
          <w:szCs w:val="21"/>
        </w:rPr>
        <w:t xml:space="preserve">AML Hook is a modular compliance layer that operates natively as a Uniswap v4 hook. Unlike existing solutions, which verify identity only once at onboarding, AML Hook verifies compliance on every swap, in real time, directly at the pool's execution layer.</w:t>
      </w:r>
    </w:p>
    <w:p>
      <w:pPr>
        <w:spacing w:after="140" w:before="0" w:line="276"/>
      </w:pPr>
      <w:r>
        <w:rPr>
          <w:rFonts w:ascii="Calibri" w:cs="Calibri" w:eastAsia="Calibri" w:hAnsi="Calibri"/>
          <w:b w:val="false"/>
          <w:bCs w:val="false"/>
          <w:i w:val="false"/>
          <w:iCs w:val="false"/>
          <w:color w:val="000000"/>
          <w:sz w:val="21"/>
          <w:szCs w:val="21"/>
        </w:rPr>
        <w:t xml:space="preserve">The hook intercepts the swap lifecycle at two moments, beforeSwap and afterSwap. It runs static screening and dynamic scoring on both parties, builds a cumulative risk profile, and decides whether the operation executes, is conditioned, or is reverted. The cycle closes with a reporting module that allows auditable reports to be presented to regulators.</w:t>
      </w:r>
    </w:p>
    <w:p>
      <w:pPr>
        <w:spacing w:after="120" w:before="220"/>
      </w:pPr>
      <w:r>
        <w:rPr>
          <w:rFonts w:ascii="Calibri" w:cs="Calibri" w:eastAsia="Calibri" w:hAnsi="Calibri"/>
          <w:b/>
          <w:bCs/>
          <w:i w:val="false"/>
          <w:iCs w:val="false"/>
          <w:color w:val="000000"/>
          <w:sz w:val="25"/>
          <w:szCs w:val="25"/>
        </w:rPr>
        <w:t xml:space="preserve">2.2 Product Objectives</w:t>
      </w:r>
    </w:p>
    <w:p>
      <w:pPr>
        <w:spacing w:after="140" w:before="0" w:line="276"/>
      </w:pPr>
      <w:r>
        <w:rPr>
          <w:rFonts w:ascii="Calibri" w:cs="Calibri" w:eastAsia="Calibri" w:hAnsi="Calibri"/>
          <w:b/>
          <w:bCs/>
          <w:i w:val="false"/>
          <w:iCs w:val="false"/>
          <w:color w:val="000000"/>
          <w:sz w:val="21"/>
          <w:szCs w:val="21"/>
        </w:rPr>
        <w:t xml:space="preserve">Prevention of terrorist financing and money laundering in DeFi pools. </w:t>
      </w:r>
      <w:r>
        <w:rPr>
          <w:rFonts w:ascii="Calibri" w:cs="Calibri" w:eastAsia="Calibri" w:hAnsi="Calibri"/>
          <w:b w:val="false"/>
          <w:bCs w:val="false"/>
          <w:i w:val="false"/>
          <w:iCs w:val="false"/>
          <w:color w:val="000000"/>
          <w:sz w:val="21"/>
          <w:szCs w:val="21"/>
        </w:rPr>
        <w:t xml:space="preserve">Ensure that no participant under international sanctions (OFAC, FATF, local lists) can operate in a pool configured with AML Hook. Every transaction leaves verifiable on-chain evidence of the screening process, creating an auditable trail that demonstrates the protocol's due diligence in any regulatory investigation.</w:t>
      </w:r>
    </w:p>
    <w:p>
      <w:pPr>
        <w:spacing w:after="140" w:before="0" w:line="276"/>
      </w:pPr>
      <w:r>
        <w:rPr>
          <w:rFonts w:ascii="Calibri" w:cs="Calibri" w:eastAsia="Calibri" w:hAnsi="Calibri"/>
          <w:b/>
          <w:bCs/>
          <w:i w:val="false"/>
          <w:iCs w:val="false"/>
          <w:color w:val="000000"/>
          <w:sz w:val="21"/>
          <w:szCs w:val="21"/>
        </w:rPr>
        <w:t xml:space="preserve">Reduction of regulatory exposure before the SEC, CFTC and equivalents. </w:t>
      </w:r>
      <w:r>
        <w:rPr>
          <w:rFonts w:ascii="Calibri" w:cs="Calibri" w:eastAsia="Calibri" w:hAnsi="Calibri"/>
          <w:b w:val="false"/>
          <w:bCs w:val="false"/>
          <w:i w:val="false"/>
          <w:iCs w:val="false"/>
          <w:color w:val="000000"/>
          <w:sz w:val="21"/>
          <w:szCs w:val="21"/>
        </w:rPr>
        <w:t xml:space="preserve">DeFi protocols that do not implement compliance mechanisms remain exposed to direct regulatory action. AML Hook allows pool operators to demonstrate that they have active sanctions and behavioral controls, significantly reducing the surface of legal exposure before the SEC, CFTC, FinCEN, MiCA and equivalents.</w:t>
      </w:r>
    </w:p>
    <w:p>
      <w:pPr>
        <w:spacing w:after="140" w:before="0" w:line="276"/>
      </w:pPr>
      <w:r>
        <w:rPr>
          <w:rFonts w:ascii="Calibri" w:cs="Calibri" w:eastAsia="Calibri" w:hAnsi="Calibri"/>
          <w:b/>
          <w:bCs/>
          <w:i w:val="false"/>
          <w:iCs w:val="false"/>
          <w:color w:val="000000"/>
          <w:sz w:val="21"/>
          <w:szCs w:val="21"/>
        </w:rPr>
        <w:t xml:space="preserve">Enabling institutional funds with strict KYC requirements. </w:t>
      </w:r>
      <w:r>
        <w:rPr>
          <w:rFonts w:ascii="Calibri" w:cs="Calibri" w:eastAsia="Calibri" w:hAnsi="Calibri"/>
          <w:b w:val="false"/>
          <w:bCs w:val="false"/>
          <w:i w:val="false"/>
          <w:iCs w:val="false"/>
          <w:color w:val="000000"/>
          <w:sz w:val="21"/>
          <w:szCs w:val="21"/>
        </w:rPr>
        <w:t xml:space="preserve">Institutional funds are prohibited from interacting with anonymous pools. AML Hook creates the infrastructure necessary for those funds to be LPs on Uniswap v4, ensuring that every counterparty meets due diligence obligations. This applies in particular to protocols issuing RWA (Real World Assets), where the underlying asset carries regulatory transfer restrictions.</w:t>
      </w:r>
    </w:p>
    <w:p>
      <w:pPr>
        <w:spacing w:after="140" w:before="0" w:line="276"/>
      </w:pPr>
      <w:r>
        <w:rPr>
          <w:rFonts w:ascii="Calibri" w:cs="Calibri" w:eastAsia="Calibri" w:hAnsi="Calibri"/>
          <w:b/>
          <w:bCs/>
          <w:i w:val="false"/>
          <w:iCs w:val="false"/>
          <w:color w:val="000000"/>
          <w:sz w:val="21"/>
          <w:szCs w:val="21"/>
        </w:rPr>
        <w:t xml:space="preserve">Generation of additional revenue through risk-differentiated fees. </w:t>
      </w:r>
      <w:r>
        <w:rPr>
          <w:rFonts w:ascii="Calibri" w:cs="Calibri" w:eastAsia="Calibri" w:hAnsi="Calibri"/>
          <w:b w:val="false"/>
          <w:bCs w:val="false"/>
          <w:i w:val="false"/>
          <w:iCs w:val="false"/>
          <w:color w:val="000000"/>
          <w:sz w:val="21"/>
          <w:szCs w:val="21"/>
        </w:rPr>
        <w:t xml:space="preserve">AML Hook introduces a native monetization model at the execution layer. The pool fee adjusts dynamically based on each party's risk score, turning compliance from a cost into revenue. The pool's LPs capture a risk premium from wallets with a history of exposure to mixers or high-risk clusters, low-score wallets receive preferential terms that incentivize compliance, and pools with AML Hook can justify higher yields to institutional investors.</w:t>
      </w:r>
    </w:p>
    <w:p>
      <w:pPr>
        <w:spacing w:after="140" w:before="280"/>
      </w:pPr>
      <w:r>
        <w:rPr>
          <w:rFonts w:ascii="Calibri" w:cs="Calibri" w:eastAsia="Calibri" w:hAnsi="Calibri"/>
          <w:b/>
          <w:bCs/>
          <w:i w:val="false"/>
          <w:iCs w:val="false"/>
          <w:color w:val="000000"/>
          <w:sz w:val="30"/>
          <w:szCs w:val="30"/>
        </w:rPr>
        <w:t xml:space="preserve">3. Hook Architecture</w:t>
      </w:r>
    </w:p>
    <w:p>
      <w:pPr>
        <w:spacing w:after="120" w:before="220"/>
      </w:pPr>
      <w:r>
        <w:rPr>
          <w:rFonts w:ascii="Calibri" w:cs="Calibri" w:eastAsia="Calibri" w:hAnsi="Calibri"/>
          <w:b/>
          <w:bCs/>
          <w:i w:val="false"/>
          <w:iCs w:val="false"/>
          <w:color w:val="000000"/>
          <w:sz w:val="25"/>
          <w:szCs w:val="25"/>
        </w:rPr>
        <w:t xml:space="preserve">3.1 The Swap Lifecycle</w:t>
      </w:r>
    </w:p>
    <w:p>
      <w:pPr>
        <w:spacing w:after="140" w:before="0" w:line="276"/>
      </w:pPr>
      <w:r>
        <w:rPr>
          <w:rFonts w:ascii="Calibri" w:cs="Calibri" w:eastAsia="Calibri" w:hAnsi="Calibri"/>
          <w:b w:val="false"/>
          <w:bCs w:val="false"/>
          <w:i w:val="false"/>
          <w:iCs w:val="false"/>
          <w:color w:val="000000"/>
          <w:sz w:val="21"/>
          <w:szCs w:val="21"/>
        </w:rPr>
        <w:t xml:space="preserve">The hook operates at two moments in the lifecycle of every swap on Uniswap v4.</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Moment</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Action</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Verifies the seller. Checks whether the source wallet holds valid authorization. If not, it blocks the operation before it executes.</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afterSwap</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Verifies the buyer. Confirms that the destination wallet is also authorized. If not, it can revert or route the funds to a temporary custody contract. Updates the wallet's risk profile.</w:t>
            </w:r>
          </w:p>
        </w:tc>
      </w:tr>
    </w:tbl>
    <w:p>
      <w:pPr>
        <w:spacing w:after="120" w:before="220"/>
      </w:pPr>
      <w:r>
        <w:rPr>
          <w:rFonts w:ascii="Calibri" w:cs="Calibri" w:eastAsia="Calibri" w:hAnsi="Calibri"/>
          <w:b/>
          <w:bCs/>
          <w:i w:val="false"/>
          <w:iCs w:val="false"/>
          <w:color w:val="000000"/>
          <w:sz w:val="25"/>
          <w:szCs w:val="25"/>
        </w:rPr>
        <w:t xml:space="preserve">3.2 The Four Decision Layers</w:t>
      </w:r>
    </w:p>
    <w:p>
      <w:pPr>
        <w:spacing w:after="140" w:before="0" w:line="276"/>
      </w:pPr>
      <w:r>
        <w:rPr>
          <w:rFonts w:ascii="Calibri" w:cs="Calibri" w:eastAsia="Calibri" w:hAnsi="Calibri"/>
          <w:b w:val="false"/>
          <w:bCs w:val="false"/>
          <w:i w:val="false"/>
          <w:iCs w:val="false"/>
          <w:color w:val="000000"/>
          <w:sz w:val="21"/>
          <w:szCs w:val="21"/>
        </w:rPr>
        <w:t xml:space="preserve">The independent-layer architecture is the most important feature of the design. If one layer fails, the system continues operating with the remaining ones.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404"/>
        <w:gridCol w:w="2964"/>
        <w:gridCol w:w="4992"/>
      </w:tblGrid>
      <w:tr>
        <w:trPr>
          <w:tblHeader/>
        </w:trPr>
        <w:tc>
          <w:tcPr>
            <w:tcW w:type="dxa" w:w="140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Layer</w:t>
            </w:r>
          </w:p>
        </w:tc>
        <w:tc>
          <w:tcPr>
            <w:tcW w:type="dxa" w:w="296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Name</w:t>
            </w:r>
          </w:p>
        </w:tc>
        <w:tc>
          <w:tcPr>
            <w:tcW w:type="dxa" w:w="499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Function</w:t>
            </w:r>
          </w:p>
        </w:tc>
      </w:tr>
      <w:tr>
        <w:tc>
          <w:tcPr>
            <w:tcW w:type="dxa" w:w="14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Layer 1</w:t>
            </w:r>
          </w:p>
        </w:tc>
        <w:tc>
          <w:tcPr>
            <w:tcW w:type="dxa" w:w="2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Static sanctions screening</w:t>
            </w:r>
          </w:p>
        </w:tc>
        <w:tc>
          <w:tcPr>
            <w:tcW w:type="dxa" w:w="499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Is this address on OFAC or another sanctions list? Immediate block if there is a match. Fast, with no external dependency at execution time.</w:t>
            </w:r>
          </w:p>
        </w:tc>
      </w:tr>
      <w:tr>
        <w:tc>
          <w:tcPr>
            <w:tcW w:type="dxa" w:w="14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Layer 2</w:t>
            </w:r>
          </w:p>
        </w:tc>
        <w:tc>
          <w:tcPr>
            <w:tcW w:type="dxa" w:w="2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Dynamic behavioral scoring</w:t>
            </w:r>
          </w:p>
        </w:tc>
        <w:tc>
          <w:tcPr>
            <w:tcW w:type="dxa" w:w="499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Off-chain behavioral scoring oracle. Analyzes the transaction graph: frequency, volumes, exposure to mixers, structuring, layering. The score is pre-calculated and cached. The hook reads it at the moment of the swap, with no latency.</w:t>
            </w:r>
          </w:p>
        </w:tc>
      </w:tr>
      <w:tr>
        <w:tc>
          <w:tcPr>
            <w:tcW w:type="dxa" w:w="14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Layer 3</w:t>
            </w:r>
          </w:p>
        </w:tc>
        <w:tc>
          <w:tcPr>
            <w:tcW w:type="dxa" w:w="2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Execution decision</w:t>
            </w:r>
          </w:p>
        </w:tc>
        <w:tc>
          <w:tcPr>
            <w:tcW w:type="dxa" w:w="499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Takes the inputs from layers 1 and 2 and produces the final decision: block, apply a differential fee, or allow.</w:t>
            </w:r>
          </w:p>
        </w:tc>
      </w:tr>
      <w:tr>
        <w:tc>
          <w:tcPr>
            <w:tcW w:type="dxa" w:w="14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Layer 4</w:t>
            </w:r>
          </w:p>
        </w:tc>
        <w:tc>
          <w:tcPr>
            <w:tcW w:type="dxa" w:w="2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Risk profile update</w:t>
            </w:r>
          </w:p>
        </w:tc>
        <w:tc>
          <w:tcPr>
            <w:tcW w:type="dxa" w:w="499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Executed in afterSwap. Records the behavior observed in the swap, amount, counterparty and frequency, and sends it to the scoring engine to update the wallet's cumulative profile. It is the layer that turns the system from static to dynamic.</w:t>
            </w:r>
          </w:p>
        </w:tc>
      </w:tr>
    </w:tbl>
    <w:p>
      <w:pPr>
        <w:spacing w:after="120" w:before="220"/>
      </w:pPr>
      <w:r>
        <w:rPr>
          <w:rFonts w:ascii="Calibri" w:cs="Calibri" w:eastAsia="Calibri" w:hAnsi="Calibri"/>
          <w:b/>
          <w:bCs/>
          <w:i w:val="false"/>
          <w:iCs w:val="false"/>
          <w:color w:val="000000"/>
          <w:sz w:val="25"/>
          <w:szCs w:val="25"/>
        </w:rPr>
        <w:t xml:space="preserve">3.3 The Three Decision Outputs</w:t>
      </w:r>
    </w:p>
    <w:p>
      <w:pPr>
        <w:spacing w:after="140" w:before="0" w:line="276"/>
      </w:pPr>
      <w:r>
        <w:rPr>
          <w:rFonts w:ascii="Calibri" w:cs="Calibri" w:eastAsia="Calibri" w:hAnsi="Calibri"/>
          <w:b w:val="false"/>
          <w:bCs w:val="false"/>
          <w:i w:val="false"/>
          <w:iCs w:val="false"/>
          <w:color w:val="000000"/>
          <w:sz w:val="21"/>
          <w:szCs w:val="21"/>
        </w:rPr>
        <w:t xml:space="preserve">The core innovation of AML Hook is its ternary decision logic, as opposed to the binary allow-or-block system of all existing competitors.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560"/>
        <w:gridCol w:w="2652"/>
        <w:gridCol w:w="5148"/>
      </w:tblGrid>
      <w:tr>
        <w:trPr>
          <w:tblHeader/>
        </w:trPr>
        <w:tc>
          <w:tcPr>
            <w:tcW w:type="dxa" w:w="156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Score</w:t>
            </w:r>
          </w:p>
        </w:tc>
        <w:tc>
          <w:tcPr>
            <w:tcW w:type="dxa" w:w="2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Output</w:t>
            </w:r>
          </w:p>
        </w:tc>
        <w:tc>
          <w:tcPr>
            <w:tcW w:type="dxa" w:w="514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Regulatory basis</w:t>
            </w:r>
          </w:p>
        </w:tc>
      </w:tr>
      <w:tr>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0 to 30</w:t>
            </w:r>
          </w:p>
        </w:tc>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Allow (standard fee)</w:t>
            </w:r>
          </w:p>
        </w:tc>
        <w:tc>
          <w:tcPr>
            <w:tcW w:type="dxa" w:w="51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with no exposure to sanctioned entities, with no anomalous behavioral patterns. Operates normally.</w:t>
            </w:r>
          </w:p>
        </w:tc>
      </w:tr>
      <w:tr>
        <w:tc>
          <w:tcPr>
            <w:tcW w:type="dxa" w:w="156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31 to 70</w:t>
            </w:r>
          </w:p>
        </w:tc>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Differential fee (3x the standard)</w:t>
            </w:r>
          </w:p>
        </w:tc>
        <w:tc>
          <w:tcPr>
            <w:tcW w:type="dxa" w:w="514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with atypical behavior but no confirmed sanction, such as structuring, indirect-risk counterparties or suspicious timing patterns. There is no legal obligation to block it. The fee acts as an economic disincentive and a monitoring signal, equivalent to banking Enhanced Due Diligence (EDD).</w:t>
            </w:r>
          </w:p>
        </w:tc>
      </w:tr>
      <w:tr>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71 to 100 / OFAC</w:t>
            </w:r>
          </w:p>
        </w:tc>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Unconditional block</w:t>
            </w:r>
          </w:p>
        </w:tc>
        <w:tc>
          <w:tcPr>
            <w:tcW w:type="dxa" w:w="51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on the OFAC sanctions list, direct exposure to mixing services, darknet markets or designated entities. There is no discretion, the transaction reverts.</w:t>
            </w:r>
          </w:p>
        </w:tc>
      </w:tr>
    </w:tbl>
    <w:p>
      <w:pPr>
        <w:spacing w:after="140" w:before="0" w:line="276"/>
      </w:pPr>
      <w:r>
        <w:rPr>
          <w:rFonts w:ascii="Calibri" w:cs="Calibri" w:eastAsia="Calibri" w:hAnsi="Calibri"/>
          <w:b w:val="false"/>
          <w:bCs w:val="false"/>
          <w:i w:val="false"/>
          <w:iCs w:val="false"/>
          <w:color w:val="000000"/>
          <w:sz w:val="21"/>
          <w:szCs w:val="21"/>
        </w:rPr>
        <w:t xml:space="preserve">The differentiator is Output 2. In the real regulatory world, not all risk justifies a block. A regulator does not expect you to block a wallet with a medium score, it expects you to monitor it, segregate it, or apply friction to it. The differential fee is the on-chain translation of that principle, and it also generates revenue for the LPs.</w:t>
      </w:r>
    </w:p>
    <w:p>
      <w:pPr>
        <w:spacing w:after="120" w:before="220"/>
      </w:pPr>
      <w:r>
        <w:rPr>
          <w:rFonts w:ascii="Calibri" w:cs="Calibri" w:eastAsia="Calibri" w:hAnsi="Calibri"/>
          <w:b/>
          <w:bCs/>
          <w:i w:val="false"/>
          <w:iCs w:val="false"/>
          <w:color w:val="000000"/>
          <w:sz w:val="25"/>
          <w:szCs w:val="25"/>
        </w:rPr>
        <w:t xml:space="preserve">3.4 Dynamic vs. Static Behavioral Scoring</w:t>
      </w:r>
    </w:p>
    <w:p>
      <w:pPr>
        <w:spacing w:after="140" w:before="0" w:line="276"/>
      </w:pPr>
      <w:r>
        <w:rPr>
          <w:rFonts w:ascii="Calibri" w:cs="Calibri" w:eastAsia="Calibri" w:hAnsi="Calibri"/>
          <w:b w:val="false"/>
          <w:bCs w:val="false"/>
          <w:i w:val="false"/>
          <w:iCs w:val="false"/>
          <w:color w:val="000000"/>
          <w:sz w:val="21"/>
          <w:szCs w:val="21"/>
        </w:rPr>
        <w:t xml:space="preserve">All existing competitors are static at the moment of the swap: they check whether a credential or a list says something about the wallet at that instant. AML Hook builds a film, not a photograph.</w:t>
      </w:r>
    </w:p>
    <w:p>
      <w:pPr>
        <w:spacing w:after="140" w:before="0" w:line="276"/>
      </w:pPr>
      <w:r>
        <w:rPr>
          <w:rFonts w:ascii="Calibri" w:cs="Calibri" w:eastAsia="Calibri" w:hAnsi="Calibri"/>
          <w:b w:val="false"/>
          <w:bCs w:val="false"/>
          <w:i w:val="false"/>
          <w:iCs w:val="false"/>
          <w:color w:val="000000"/>
          <w:sz w:val="21"/>
          <w:szCs w:val="21"/>
        </w:rPr>
        <w:t xml:space="preserve">Every time a wallet executes a swap, afterSwap records that event and sends it to the behavioral scoring engine, which updates the risk profile incorporating the new transaction: amount, counterparty, timing and relationship to the historical pattern. The next time that wallet attempts to swap, beforeSwap queries a score that already incorporates what it did on the previous swap.</w:t>
      </w:r>
    </w:p>
    <w:p>
      <w:pPr>
        <w:spacing w:after="140" w:before="0" w:line="276"/>
      </w:pPr>
      <w:r>
        <w:rPr>
          <w:rFonts w:ascii="Calibri" w:cs="Calibri" w:eastAsia="Calibri" w:hAnsi="Calibri"/>
          <w:b w:val="false"/>
          <w:bCs w:val="false"/>
          <w:i w:val="false"/>
          <w:iCs w:val="false"/>
          <w:color w:val="000000"/>
          <w:sz w:val="21"/>
          <w:szCs w:val="21"/>
        </w:rPr>
        <w:t xml:space="preserve">The consequence is direct. A wallet can start with a low score and rise in risk because of its on-chain behavior, without anyone having put it on any list. The system detects emerging patterns such as structuring, layering, dust attacks and co-spending, in addition to already-known entities.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652"/>
        <w:gridCol w:w="4212"/>
        <w:gridCol w:w="2496"/>
      </w:tblGrid>
      <w:tr>
        <w:trPr>
          <w:tblHeader/>
        </w:trPr>
        <w:tc>
          <w:tcPr>
            <w:tcW w:type="dxa" w:w="2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Detected pattern</w:t>
            </w:r>
          </w:p>
        </w:tc>
        <w:tc>
          <w:tcPr>
            <w:tcW w:type="dxa" w:w="421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Description</w:t>
            </w:r>
          </w:p>
        </w:tc>
        <w:tc>
          <w:tcPr>
            <w:tcW w:type="dxa" w:w="249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Detectable by static list</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Structuring (smurfing)</w:t>
            </w:r>
          </w:p>
        </w:tc>
        <w:tc>
          <w:tcPr>
            <w:tcW w:type="dxa" w:w="421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Splitting transactions below reporting thresholds</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Layering</w:t>
            </w:r>
          </w:p>
        </w:tc>
        <w:tc>
          <w:tcPr>
            <w:tcW w:type="dxa" w:w="421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Unusual turnover velocity: many small swaps in a short window</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Post-mixer timing</w:t>
            </w:r>
          </w:p>
        </w:tc>
        <w:tc>
          <w:tcPr>
            <w:tcW w:type="dxa" w:w="421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interacts with mixers and then uses the pool within a recent period</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New high-risk wallet</w:t>
            </w:r>
          </w:p>
        </w:tc>
        <w:tc>
          <w:tcPr>
            <w:tcW w:type="dxa" w:w="421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Receives funds from a high-risk wallet hours before the swap</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Direct OFAC sanction</w:t>
            </w:r>
          </w:p>
        </w:tc>
        <w:tc>
          <w:tcPr>
            <w:tcW w:type="dxa" w:w="421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Address on a known sanctions list</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Yes</w:t>
            </w:r>
          </w:p>
        </w:tc>
      </w:tr>
    </w:tbl>
    <w:p>
      <w:pPr>
        <w:spacing w:after="80" w:before="160"/>
      </w:pPr>
      <w:r>
        <w:rPr>
          <w:rFonts w:ascii="Calibri" w:cs="Calibri" w:eastAsia="Calibri" w:hAnsi="Calibri"/>
          <w:b/>
          <w:bCs/>
          <w:i w:val="false"/>
          <w:iCs w:val="false"/>
          <w:color w:val="000000"/>
          <w:sz w:val="22"/>
          <w:szCs w:val="22"/>
        </w:rPr>
        <w:t xml:space="preserve">Fraud and exit liquidity scheme detection</w:t>
      </w:r>
    </w:p>
    <w:p>
      <w:pPr>
        <w:spacing w:after="140" w:before="0" w:line="276"/>
      </w:pPr>
      <w:r>
        <w:rPr>
          <w:rFonts w:ascii="Calibri" w:cs="Calibri" w:eastAsia="Calibri" w:hAnsi="Calibri"/>
          <w:b w:val="false"/>
          <w:bCs w:val="false"/>
          <w:i w:val="false"/>
          <w:iCs w:val="false"/>
          <w:color w:val="000000"/>
          <w:sz w:val="21"/>
          <w:szCs w:val="21"/>
        </w:rPr>
        <w:t xml:space="preserve">Behavioral scoring is not limited to classic money laundering. It also identifies DeFi-specific patterns such as rug pulls, exit liquidity schemes and wash trading, which leave measurable on-chain footprints before the damage is complete.</w:t>
      </w:r>
    </w:p>
    <w:p>
      <w:pPr>
        <w:spacing w:after="140" w:before="0" w:line="276"/>
      </w:pPr>
      <w:r>
        <w:rPr>
          <w:rFonts w:ascii="Calibri" w:cs="Calibri" w:eastAsia="Calibri" w:hAnsi="Calibri"/>
          <w:b/>
          <w:bCs/>
          <w:i w:val="false"/>
          <w:iCs w:val="false"/>
          <w:color w:val="000000"/>
          <w:sz w:val="21"/>
          <w:szCs w:val="21"/>
        </w:rPr>
        <w:t xml:space="preserve">Account age vs. swap size. </w:t>
      </w:r>
      <w:r>
        <w:rPr>
          <w:rFonts w:ascii="Calibri" w:cs="Calibri" w:eastAsia="Calibri" w:hAnsi="Calibri"/>
          <w:b w:val="false"/>
          <w:bCs w:val="false"/>
          <w:i w:val="false"/>
          <w:iCs w:val="false"/>
          <w:color w:val="000000"/>
          <w:sz w:val="21"/>
          <w:szCs w:val="21"/>
        </w:rPr>
        <w:t xml:space="preserve">A wallet created a few days ago that attempts a high-volume swap is a statistical anomaly. A legitimate wallet of that size has a history of months.</w:t>
      </w:r>
    </w:p>
    <w:p>
      <w:pPr>
        <w:spacing w:after="140" w:before="0" w:line="276"/>
      </w:pPr>
      <w:r>
        <w:rPr>
          <w:rFonts w:ascii="Calibri" w:cs="Calibri" w:eastAsia="Calibri" w:hAnsi="Calibri"/>
          <w:b/>
          <w:bCs/>
          <w:i w:val="false"/>
          <w:iCs w:val="false"/>
          <w:color w:val="000000"/>
          <w:sz w:val="21"/>
          <w:szCs w:val="21"/>
        </w:rPr>
        <w:t xml:space="preserve">Inbound-only micro-transfer clusters. </w:t>
      </w:r>
      <w:r>
        <w:rPr>
          <w:rFonts w:ascii="Calibri" w:cs="Calibri" w:eastAsia="Calibri" w:hAnsi="Calibri"/>
          <w:b w:val="false"/>
          <w:bCs w:val="false"/>
          <w:i w:val="false"/>
          <w:iCs w:val="false"/>
          <w:color w:val="000000"/>
          <w:sz w:val="21"/>
          <w:szCs w:val="21"/>
        </w:rPr>
        <w:t xml:space="preserve">Before an attack, the scammer usually sends small one-way transfers to their intermediary wallets to create an appearance of activity, with no counter-flow and within a short time window.</w:t>
      </w:r>
    </w:p>
    <w:p>
      <w:pPr>
        <w:spacing w:after="140" w:before="0" w:line="276"/>
      </w:pPr>
      <w:r>
        <w:rPr>
          <w:rFonts w:ascii="Calibri" w:cs="Calibri" w:eastAsia="Calibri" w:hAnsi="Calibri"/>
          <w:b/>
          <w:bCs/>
          <w:i w:val="false"/>
          <w:iCs w:val="false"/>
          <w:color w:val="000000"/>
          <w:sz w:val="21"/>
          <w:szCs w:val="21"/>
        </w:rPr>
        <w:t xml:space="preserve">Velocity score. </w:t>
      </w:r>
      <w:r>
        <w:rPr>
          <w:rFonts w:ascii="Calibri" w:cs="Calibri" w:eastAsia="Calibri" w:hAnsi="Calibri"/>
          <w:b w:val="false"/>
          <w:bCs w:val="false"/>
          <w:i w:val="false"/>
          <w:iCs w:val="false"/>
          <w:color w:val="000000"/>
          <w:sz w:val="21"/>
          <w:szCs w:val="21"/>
        </w:rPr>
        <w:t xml:space="preserve">The attacker needs to execute fast. Many transactions within a few hours that under normal conditions would take days or weeks is a clear signal.</w:t>
      </w:r>
    </w:p>
    <w:p>
      <w:pPr>
        <w:spacing w:after="140" w:before="0" w:line="276"/>
      </w:pPr>
      <w:r>
        <w:rPr>
          <w:rFonts w:ascii="Calibri" w:cs="Calibri" w:eastAsia="Calibri" w:hAnsi="Calibri"/>
          <w:b/>
          <w:bCs/>
          <w:i w:val="false"/>
          <w:iCs w:val="false"/>
          <w:color w:val="000000"/>
          <w:sz w:val="21"/>
          <w:szCs w:val="21"/>
        </w:rPr>
        <w:t xml:space="preserve">Counterparty concentration. </w:t>
      </w:r>
      <w:r>
        <w:rPr>
          <w:rFonts w:ascii="Calibri" w:cs="Calibri" w:eastAsia="Calibri" w:hAnsi="Calibri"/>
          <w:b w:val="false"/>
          <w:bCs w:val="false"/>
          <w:i w:val="false"/>
          <w:iCs w:val="false"/>
          <w:color w:val="000000"/>
          <w:sz w:val="21"/>
          <w:szCs w:val="21"/>
        </w:rPr>
        <w:t xml:space="preserve">A legitimate wallet interacts with many protocols. An attack wallet interacts almost exclusively with the target protocol and its own intermediary wallets.</w:t>
      </w:r>
    </w:p>
    <w:p>
      <w:pPr>
        <w:spacing w:after="140" w:before="0" w:line="276"/>
      </w:pPr>
      <w:r>
        <w:rPr>
          <w:rFonts w:ascii="Calibri" w:cs="Calibri" w:eastAsia="Calibri" w:hAnsi="Calibri"/>
          <w:b w:val="false"/>
          <w:bCs w:val="false"/>
          <w:i w:val="false"/>
          <w:iCs w:val="false"/>
          <w:color w:val="000000"/>
          <w:sz w:val="21"/>
          <w:szCs w:val="21"/>
        </w:rPr>
        <w:t xml:space="preserve">afterSwap also adds value when a swap has already passed the filter. It updates the wallet's score in real time, can trigger a circuit breaker if the swap was abnormally large and withdrew almost all the liquidity, and emits on-chain events visible to dashboards, alerts and other protocols.</w:t>
      </w:r>
    </w:p>
    <w:p>
      <w:pPr>
        <w:spacing w:after="120" w:before="220"/>
      </w:pPr>
      <w:r>
        <w:rPr>
          <w:rFonts w:ascii="Calibri" w:cs="Calibri" w:eastAsia="Calibri" w:hAnsi="Calibri"/>
          <w:b/>
          <w:bCs/>
          <w:i w:val="false"/>
          <w:iCs w:val="false"/>
          <w:color w:val="000000"/>
          <w:sz w:val="25"/>
          <w:szCs w:val="25"/>
        </w:rPr>
        <w:t xml:space="preserve">3.5 Detailed Technical Architecture</w:t>
      </w:r>
    </w:p>
    <w:p>
      <w:pPr>
        <w:spacing w:after="80" w:before="160"/>
      </w:pPr>
      <w:r>
        <w:rPr>
          <w:rFonts w:ascii="Calibri" w:cs="Calibri" w:eastAsia="Calibri" w:hAnsi="Calibri"/>
          <w:b/>
          <w:bCs/>
          <w:i w:val="false"/>
          <w:iCs w:val="false"/>
          <w:color w:val="000000"/>
          <w:sz w:val="22"/>
          <w:szCs w:val="22"/>
        </w:rPr>
        <w:t xml:space="preserve">Off-chain analysis engine</w:t>
      </w:r>
    </w:p>
    <w:p>
      <w:pPr>
        <w:spacing w:after="140" w:before="0" w:line="276"/>
      </w:pPr>
      <w:r>
        <w:rPr>
          <w:rFonts w:ascii="Calibri" w:cs="Calibri" w:eastAsia="Calibri" w:hAnsi="Calibri"/>
          <w:b w:val="false"/>
          <w:bCs w:val="false"/>
          <w:i w:val="false"/>
          <w:iCs w:val="false"/>
          <w:color w:val="000000"/>
          <w:sz w:val="21"/>
          <w:szCs w:val="21"/>
        </w:rPr>
        <w:t xml:space="preserve">Continuously processes the on-chain transaction graph. For each wallet it calculates its direct exposure, that is, whether it interacted with blacklisted wallets, and its indirect exposure, whether it interacted with wallets that in turn interacted with blacklisted wallets, at a configurable depth of two to three hops. It also measures the frequency and volume of interactions with risk clusters, and detects related wallets when a new address shares behavioral patterns with one already blocked.</w:t>
      </w:r>
    </w:p>
    <w:p>
      <w:pPr>
        <w:spacing w:after="80" w:before="160"/>
      </w:pPr>
      <w:r>
        <w:rPr>
          <w:rFonts w:ascii="Calibri" w:cs="Calibri" w:eastAsia="Calibri" w:hAnsi="Calibri"/>
          <w:b/>
          <w:bCs/>
          <w:i w:val="false"/>
          <w:iCs w:val="false"/>
          <w:color w:val="000000"/>
          <w:sz w:val="22"/>
          <w:szCs w:val="22"/>
        </w:rPr>
        <w:t xml:space="preserve">On-chain oracle</w:t>
      </w:r>
    </w:p>
    <w:p>
      <w:pPr>
        <w:spacing w:after="140" w:before="0" w:line="276"/>
      </w:pPr>
      <w:r>
        <w:rPr>
          <w:rFonts w:ascii="Calibri" w:cs="Calibri" w:eastAsia="Calibri" w:hAnsi="Calibri"/>
          <w:b w:val="false"/>
          <w:bCs w:val="false"/>
          <w:i w:val="false"/>
          <w:iCs w:val="false"/>
          <w:color w:val="000000"/>
          <w:sz w:val="21"/>
          <w:szCs w:val="21"/>
        </w:rPr>
        <w:t xml:space="preserve">A contract that stores the state of each wallet and that the hook can query: the direct blacklist (OFAC, FATF lists, local lists), the risk score calculated by the off-chain engine, the timestamp of the last update, and the validity of the KYC token issued by an external provider, such as Civic or Polygon ID with ZK-proof.</w:t>
      </w:r>
    </w:p>
    <w:p>
      <w:pPr>
        <w:spacing w:after="80" w:before="160"/>
      </w:pPr>
      <w:r>
        <w:rPr>
          <w:rFonts w:ascii="Calibri" w:cs="Calibri" w:eastAsia="Calibri" w:hAnsi="Calibri"/>
          <w:b/>
          <w:bCs/>
          <w:i w:val="false"/>
          <w:iCs w:val="false"/>
          <w:color w:val="000000"/>
          <w:sz w:val="22"/>
          <w:szCs w:val="22"/>
        </w:rPr>
        <w:t xml:space="preserve">Multi-layer architecture with fallback</w:t>
      </w:r>
    </w:p>
    <w:p>
      <w:pPr>
        <w:spacing w:after="140" w:before="0" w:line="276"/>
      </w:pPr>
      <w:r>
        <w:rPr>
          <w:rFonts w:ascii="Calibri" w:cs="Calibri" w:eastAsia="Calibri" w:hAnsi="Calibri"/>
          <w:b w:val="false"/>
          <w:bCs w:val="false"/>
          <w:i w:val="false"/>
          <w:iCs w:val="false"/>
          <w:color w:val="000000"/>
          <w:sz w:val="21"/>
          <w:szCs w:val="21"/>
        </w:rPr>
        <w:t xml:space="preserve">Instead of depending on a single oracle, AML Hook is designed with redundant layers. The static layer is the updatable on-chain OFAC list, with no external dependency at execution time. The primary dynamic layer is the negotiated provider's oracle, Chainalysis or TRM Labs. And the fallback layer engages when the primary oracle does not respond: the hook executes with the static layer alone instead of reverting the transaction, which eliminates single-point-of-failure risk.</w:t>
      </w:r>
    </w:p>
    <w:p>
      <w:pPr>
        <w:spacing w:after="80" w:before="160"/>
      </w:pPr>
      <w:r>
        <w:rPr>
          <w:rFonts w:ascii="Calibri" w:cs="Calibri" w:eastAsia="Calibri" w:hAnsi="Calibri"/>
          <w:b/>
          <w:bCs/>
          <w:i w:val="false"/>
          <w:iCs w:val="false"/>
          <w:color w:val="000000"/>
          <w:sz w:val="22"/>
          <w:szCs w:val="22"/>
        </w:rPr>
        <w:t xml:space="preserve">Verification of institutional Smart Accounts</w:t>
      </w:r>
    </w:p>
    <w:p>
      <w:pPr>
        <w:spacing w:after="140" w:before="0" w:line="276"/>
      </w:pPr>
      <w:r>
        <w:rPr>
          <w:rFonts w:ascii="Calibri" w:cs="Calibri" w:eastAsia="Calibri" w:hAnsi="Calibri"/>
          <w:b w:val="false"/>
          <w:bCs w:val="false"/>
          <w:i w:val="false"/>
          <w:iCs w:val="false"/>
          <w:color w:val="000000"/>
          <w:sz w:val="21"/>
          <w:szCs w:val="21"/>
        </w:rPr>
        <w:t xml:space="preserve">A critical case that competitors ignore is that institutional funds do not use simple wallets. They use Smart Accounts, multisigs such as Safe that require several executives to sign each transaction. When the swap reaches the hook in beforeSwap, msg.sender is a contract and not a person, it has no directly associated KYC and does not appear on sanctions lists.</w:t>
      </w:r>
    </w:p>
    <w:p>
      <w:pPr>
        <w:spacing w:after="140" w:before="0" w:line="276"/>
      </w:pPr>
      <w:r>
        <w:rPr>
          <w:rFonts w:ascii="Calibri" w:cs="Calibri" w:eastAsia="Calibri" w:hAnsi="Calibri"/>
          <w:b w:val="false"/>
          <w:bCs w:val="false"/>
          <w:i w:val="false"/>
          <w:iCs w:val="false"/>
          <w:color w:val="000000"/>
          <w:sz w:val="21"/>
          <w:szCs w:val="21"/>
        </w:rPr>
        <w:t xml:space="preserve">AML Hook resolves this with two verification models. In controller verification, the hook checks who the owners of the Smart Account are and verifies each one individually, so that if any controller is sanctioned, the swap is blocked. In threshold verification, it is not enough for one controller to be clean, it verifies that there are enough clean controllers to meet the multisig's approval threshold. If the threshold is three of five and a sanctioned controller is not enough to approve anything on its own, the swap can proceed.</w:t>
      </w:r>
    </w:p>
    <w:p>
      <w:pPr>
        <w:spacing w:after="120" w:before="220"/>
      </w:pPr>
      <w:r>
        <w:rPr>
          <w:rFonts w:ascii="Calibri" w:cs="Calibri" w:eastAsia="Calibri" w:hAnsi="Calibri"/>
          <w:b/>
          <w:bCs/>
          <w:i w:val="false"/>
          <w:iCs w:val="false"/>
          <w:color w:val="000000"/>
          <w:sz w:val="25"/>
          <w:szCs w:val="25"/>
        </w:rPr>
        <w:t xml:space="preserve">3.6 Regulatory Reporting Module</w:t>
      </w:r>
    </w:p>
    <w:p>
      <w:pPr>
        <w:spacing w:after="140" w:before="0" w:line="276"/>
      </w:pPr>
      <w:r>
        <w:rPr>
          <w:rFonts w:ascii="Calibri" w:cs="Calibri" w:eastAsia="Calibri" w:hAnsi="Calibri"/>
          <w:b w:val="false"/>
          <w:bCs w:val="false"/>
          <w:i w:val="false"/>
          <w:iCs w:val="false"/>
          <w:color w:val="000000"/>
          <w:sz w:val="21"/>
          <w:szCs w:val="21"/>
        </w:rPr>
        <w:t xml:space="preserve">In afterSwap, the hook emits structured events that The Graph indexes automatically. Every verified swap is recorded with sender, amount, timestamp and verification result. The ERC-4824 standard defines the URI where that report is publicly accessible.</w:t>
      </w:r>
    </w:p>
    <w:p>
      <w:pPr>
        <w:spacing w:after="140" w:before="0" w:line="276"/>
      </w:pPr>
      <w:r>
        <w:rPr>
          <w:rFonts w:ascii="Calibri" w:cs="Calibri" w:eastAsia="Calibri" w:hAnsi="Calibri"/>
          <w:b w:val="false"/>
          <w:bCs w:val="false"/>
          <w:i w:val="false"/>
          <w:iCs w:val="false"/>
          <w:color w:val="000000"/>
          <w:sz w:val="21"/>
          <w:szCs w:val="21"/>
        </w:rPr>
        <w:t xml:space="preserve">This allows pool operators to generate auditable reports to present to regulators such as the SEC, the CFTC, FinCEN or MiCA, demonstrating the due diligence process transaction by transaction. The audit log is immutable: every system decision is recorded with timestamp, risk score, sources consulted and action taken. The interpretive analysis of those events, with typology identification and natural-language documentation, is developed in section 9.5.</w:t>
      </w:r>
    </w:p>
    <w:p>
      <w:pPr>
        <w:spacing w:after="120" w:before="220"/>
      </w:pPr>
      <w:r>
        <w:rPr>
          <w:rFonts w:ascii="Calibri" w:cs="Calibri" w:eastAsia="Calibri" w:hAnsi="Calibri"/>
          <w:b/>
          <w:bCs/>
          <w:i w:val="false"/>
          <w:iCs w:val="false"/>
          <w:color w:val="000000"/>
          <w:sz w:val="25"/>
          <w:szCs w:val="25"/>
        </w:rPr>
        <w:t xml:space="preserve">3.7 Fee Escrow Mechanism</w:t>
      </w:r>
    </w:p>
    <w:p>
      <w:pPr>
        <w:spacing w:after="140" w:before="0" w:line="276"/>
      </w:pPr>
      <w:r>
        <w:rPr>
          <w:rFonts w:ascii="Calibri" w:cs="Calibri" w:eastAsia="Calibri" w:hAnsi="Calibri"/>
          <w:b w:val="false"/>
          <w:bCs w:val="false"/>
          <w:i w:val="false"/>
          <w:iCs w:val="false"/>
          <w:color w:val="000000"/>
          <w:sz w:val="21"/>
          <w:szCs w:val="21"/>
        </w:rPr>
        <w:t xml:space="preserve">For medium-risk swaps, with a score between 31 and 70, the differential fee does not go directly to the pool. It goes to an escrow contract with a 48-hour timelock. During that period, if the oracle confirms that the wallet was part of a fraud scheme, because it appeared on a Chainalysis list, because related wallets were flagged, or because the pattern completed, the fee is not released to the pool but instead goes to a compensation fund for the affected LPs.</w:t>
      </w:r>
    </w:p>
    <w:p>
      <w:pPr>
        <w:spacing w:after="140" w:before="0" w:line="276"/>
      </w:pPr>
      <w:r>
        <w:rPr>
          <w:rFonts w:ascii="Calibri" w:cs="Calibri" w:eastAsia="Calibri" w:hAnsi="Calibri"/>
          <w:b w:val="false"/>
          <w:bCs w:val="false"/>
          <w:i w:val="false"/>
          <w:iCs w:val="false"/>
          <w:color w:val="000000"/>
          <w:sz w:val="21"/>
          <w:szCs w:val="21"/>
        </w:rPr>
        <w:t xml:space="preserve">If there is no fraud confirmation within 48 hours, the fee is released normally. The mechanism has two concrete effects: it creates a real economic cost for the attacker even if it manages to pass the initial filter, and it funds the compensation of the LPs. It turns compliance from a passive cost into an active pool-protection asset.</w:t>
      </w:r>
    </w:p>
    <w:p>
      <w:pPr>
        <w:spacing w:after="120" w:before="220"/>
      </w:pPr>
      <w:r>
        <w:rPr>
          <w:rFonts w:ascii="Calibri" w:cs="Calibri" w:eastAsia="Calibri" w:hAnsi="Calibri"/>
          <w:b/>
          <w:bCs/>
          <w:i w:val="false"/>
          <w:iCs w:val="false"/>
          <w:color w:val="000000"/>
          <w:sz w:val="25"/>
          <w:szCs w:val="25"/>
        </w:rPr>
        <w:t xml:space="preserve">3.8 Oracle Latency and Update Frequency</w:t>
      </w:r>
    </w:p>
    <w:p>
      <w:pPr>
        <w:spacing w:after="140" w:before="0" w:line="276"/>
      </w:pPr>
      <w:r>
        <w:rPr>
          <w:rFonts w:ascii="Calibri" w:cs="Calibri" w:eastAsia="Calibri" w:hAnsi="Calibri"/>
          <w:b w:val="false"/>
          <w:bCs w:val="false"/>
          <w:i w:val="false"/>
          <w:iCs w:val="false"/>
          <w:color w:val="000000"/>
          <w:sz w:val="21"/>
          <w:szCs w:val="21"/>
        </w:rPr>
        <w:t xml:space="preserve">The behavioral calculation does not happen during the swap. The off-chain engine calculates the scores continuously and a keeper writes them on-chain periodically. When a swap arrives, the hook reads a value that was already stored. The operation concludes within the network's normal confirmation time, around 12 seconds on Ethereum mainnet and close to 1 second on Unichain and most L2s (Layer 2, second-layer networks). Compliance adds no perceptible wait.</w:t>
      </w:r>
    </w:p>
    <w:p>
      <w:pPr>
        <w:spacing w:after="140" w:before="0" w:line="276"/>
      </w:pPr>
      <w:r>
        <w:rPr>
          <w:rFonts w:ascii="Calibri" w:cs="Calibri" w:eastAsia="Calibri" w:hAnsi="Calibri"/>
          <w:b w:val="false"/>
          <w:bCs w:val="false"/>
          <w:i w:val="false"/>
          <w:iCs w:val="false"/>
          <w:color w:val="000000"/>
          <w:sz w:val="21"/>
          <w:szCs w:val="21"/>
        </w:rPr>
        <w:t xml:space="preserve">Under the planned design, the freshness of the behavioral score depends on the keeper interval. For high-volume institutional pools that interval is between 30 and 60 seconds, and for retail pools between 3 and 5 minutes. That figure is the maximum age of the data, not a delay in the operation.</w:t>
      </w:r>
    </w:p>
    <w:p>
      <w:pPr>
        <w:spacing w:after="140" w:before="0" w:line="276"/>
      </w:pPr>
      <w:r>
        <w:rPr>
          <w:rFonts w:ascii="Calibri" w:cs="Calibri" w:eastAsia="Calibri" w:hAnsi="Calibri"/>
          <w:b w:val="false"/>
          <w:bCs w:val="false"/>
          <w:i w:val="false"/>
          <w:iCs w:val="false"/>
          <w:color w:val="000000"/>
          <w:sz w:val="21"/>
          <w:szCs w:val="21"/>
        </w:rPr>
        <w:t xml:space="preserve">Two decisions close the staleness window. Layer 1 sanctions screening is event-driven and deterministic: an OFAC match blocks immediately, without depending on the keeper interval. And structuring detection within the pool is recorded in the same afterSwap, with no latency, because it does not depend on the oracle. If a wallet executes forty fragmented swaps, the hook counts them in real time even if the external score is stale.</w:t>
      </w:r>
    </w:p>
    <w:p>
      <w:pPr>
        <w:spacing w:after="140" w:before="0" w:line="276"/>
      </w:pPr>
      <w:r>
        <w:rPr>
          <w:rFonts w:ascii="Calibri" w:cs="Calibri" w:eastAsia="Calibri" w:hAnsi="Calibri"/>
          <w:b w:val="false"/>
          <w:bCs w:val="false"/>
          <w:i w:val="false"/>
          <w:iCs w:val="false"/>
          <w:color w:val="000000"/>
          <w:sz w:val="21"/>
          <w:szCs w:val="21"/>
        </w:rPr>
        <w:t xml:space="preserve">The keeper writes only when the score variation exceeds a configurable threshold. If the score has not moved materially between cycles, there is no write. This avoids redundant updates without sacrificing responsiveness to relevant risk changes.</w:t>
      </w:r>
    </w:p>
    <w:p>
      <w:pPr>
        <w:spacing w:after="120" w:before="220"/>
      </w:pPr>
      <w:r>
        <w:rPr>
          <w:rFonts w:ascii="Calibri" w:cs="Calibri" w:eastAsia="Calibri" w:hAnsi="Calibri"/>
          <w:b/>
          <w:bCs/>
          <w:i w:val="false"/>
          <w:iCs w:val="false"/>
          <w:color w:val="000000"/>
          <w:sz w:val="25"/>
          <w:szCs w:val="25"/>
        </w:rPr>
        <w:t xml:space="preserve">3.9 Complete Walkthrough of a Swap</w:t>
      </w:r>
    </w:p>
    <w:p>
      <w:pPr>
        <w:spacing w:after="140" w:before="0" w:line="276"/>
      </w:pPr>
      <w:r>
        <w:rPr>
          <w:rFonts w:ascii="Calibri" w:cs="Calibri" w:eastAsia="Calibri" w:hAnsi="Calibri"/>
          <w:b w:val="false"/>
          <w:bCs w:val="false"/>
          <w:i w:val="false"/>
          <w:iCs w:val="false"/>
          <w:color w:val="000000"/>
          <w:sz w:val="21"/>
          <w:szCs w:val="21"/>
        </w:rPr>
        <w:t xml:space="preserve">This section describes the complete lifecycle of an exchange operation in a pool configured with AML Hook, from the user's signature to block confirmation, specifying at which moments the hook intervenes and what it executes at each one. It is written without assuming prior knowledge of Uniswap v4's architecture.</w:t>
      </w:r>
    </w:p>
    <w:p>
      <w:pPr>
        <w:spacing w:after="140" w:before="0" w:line="276"/>
      </w:pPr>
      <w:r>
        <w:rPr>
          <w:rFonts w:ascii="Calibri" w:cs="Calibri" w:eastAsia="Calibri" w:hAnsi="Calibri"/>
          <w:b w:val="false"/>
          <w:bCs w:val="false"/>
          <w:i w:val="false"/>
          <w:iCs w:val="false"/>
          <w:color w:val="000000"/>
          <w:sz w:val="21"/>
          <w:szCs w:val="21"/>
        </w:rPr>
        <w:t xml:space="preserve">Version 4 of the protocol concentrates all pools in a single contract called the PoolManager. That concentration is the architectural condition that makes hooks possible, since there is a single execution point where external logic can be inserted. The PoolManager also operates under a deferred accounting scheme, in which each party's obligations are recorded during the operation and settled at close.</w:t>
      </w:r>
    </w:p>
    <w:p>
      <w:pPr>
        <w:spacing w:after="140" w:before="0" w:line="276"/>
      </w:pPr>
      <w:r>
        <w:rPr>
          <w:rFonts w:ascii="Calibri" w:cs="Calibri" w:eastAsia="Calibri" w:hAnsi="Calibri"/>
          <w:b/>
          <w:bCs/>
          <w:i w:val="false"/>
          <w:iCs w:val="false"/>
          <w:color w:val="000000"/>
          <w:sz w:val="21"/>
          <w:szCs w:val="21"/>
        </w:rPr>
        <w:t xml:space="preserve">Step 1. Signing and submission of the transaction. </w:t>
      </w:r>
      <w:r>
        <w:rPr>
          <w:rFonts w:ascii="Calibri" w:cs="Calibri" w:eastAsia="Calibri" w:hAnsi="Calibri"/>
          <w:b w:val="false"/>
          <w:bCs w:val="false"/>
          <w:i w:val="false"/>
          <w:iCs w:val="false"/>
          <w:color w:val="000000"/>
          <w:sz w:val="21"/>
          <w:szCs w:val="21"/>
        </w:rPr>
        <w:t xml:space="preserve">The user selects the pool, the amount and the direction of the exchange, and signs the transaction with their wallet. The transaction is directed to a router contract that acts as an intermediary. The user does not interact directly with the PoolManager. No compliance control intervenes at this stage.</w:t>
      </w:r>
    </w:p>
    <w:p>
      <w:pPr>
        <w:spacing w:after="140" w:before="0" w:line="276"/>
      </w:pPr>
      <w:r>
        <w:rPr>
          <w:rFonts w:ascii="Calibri" w:cs="Calibri" w:eastAsia="Calibri" w:hAnsi="Calibri"/>
          <w:b/>
          <w:bCs/>
          <w:i w:val="false"/>
          <w:iCs w:val="false"/>
          <w:color w:val="000000"/>
          <w:sz w:val="21"/>
          <w:szCs w:val="21"/>
        </w:rPr>
        <w:t xml:space="preserve">Step 2. Acquiring the PoolManager lock. </w:t>
      </w:r>
      <w:r>
        <w:rPr>
          <w:rFonts w:ascii="Calibri" w:cs="Calibri" w:eastAsia="Calibri" w:hAnsi="Calibri"/>
          <w:b w:val="false"/>
          <w:bCs w:val="false"/>
          <w:i w:val="false"/>
          <w:iCs w:val="false"/>
          <w:color w:val="000000"/>
          <w:sz w:val="21"/>
          <w:szCs w:val="21"/>
        </w:rPr>
        <w:t xml:space="preserve">The router invokes the PoolManager's unlock function. The contract is marked as unlocked and returns control to the router through a callback called unlockCallback. This mechanism exists so that the PoolManager can verify, at the end of the sequence, that all recorded obligations have been settled.</w:t>
      </w:r>
    </w:p>
    <w:p>
      <w:pPr>
        <w:spacing w:after="140" w:before="0" w:line="276"/>
      </w:pPr>
      <w:r>
        <w:rPr>
          <w:rFonts w:ascii="Calibri" w:cs="Calibri" w:eastAsia="Calibri" w:hAnsi="Calibri"/>
          <w:b/>
          <w:bCs/>
          <w:i w:val="false"/>
          <w:iCs w:val="false"/>
          <w:color w:val="000000"/>
          <w:sz w:val="21"/>
          <w:szCs w:val="21"/>
        </w:rPr>
        <w:t xml:space="preserve">Step 3. Invocation of the swap function. </w:t>
      </w:r>
      <w:r>
        <w:rPr>
          <w:rFonts w:ascii="Calibri" w:cs="Calibri" w:eastAsia="Calibri" w:hAnsi="Calibri"/>
          <w:b w:val="false"/>
          <w:bCs w:val="false"/>
          <w:i w:val="false"/>
          <w:iCs w:val="false"/>
          <w:color w:val="000000"/>
          <w:sz w:val="21"/>
          <w:szCs w:val="21"/>
        </w:rPr>
        <w:t xml:space="preserve">Within the lock, the router calls the PoolManager's swap function and passes it the PoolKey, which identifies the pool through the two currencies of the pair, the fee, the tick spacing and the address of the associated hook, together with the operation's parameters and an optional field called hookData. Two parameters are decisive for AML Hook. The zeroForOne field indicates the direction of the exchange, that is, which of the two currencies is delivered and which is received, which enables the analysis of directional turnover patterns. The amountSpecified field indicates the amount of the operation, and is the direct input for fragmentation detection.</w:t>
      </w:r>
    </w:p>
    <w:p>
      <w:pPr>
        <w:spacing w:after="140" w:before="0" w:line="276"/>
      </w:pPr>
      <w:r>
        <w:rPr>
          <w:rFonts w:ascii="Calibri" w:cs="Calibri" w:eastAsia="Calibri" w:hAnsi="Calibri"/>
          <w:b/>
          <w:bCs/>
          <w:i w:val="false"/>
          <w:iCs w:val="false"/>
          <w:color w:val="000000"/>
          <w:sz w:val="21"/>
          <w:szCs w:val="21"/>
        </w:rPr>
        <w:t xml:space="preserve">Step 4. Hook identification and permission verification. </w:t>
      </w:r>
      <w:r>
        <w:rPr>
          <w:rFonts w:ascii="Calibri" w:cs="Calibri" w:eastAsia="Calibri" w:hAnsi="Calibri"/>
          <w:b w:val="false"/>
          <w:bCs w:val="false"/>
          <w:i w:val="false"/>
          <w:iCs w:val="false"/>
          <w:color w:val="000000"/>
          <w:sz w:val="21"/>
          <w:szCs w:val="21"/>
        </w:rPr>
        <w:t xml:space="preserve">The PoolManager obtains the hook's address from the PoolKey. A pool with no hook has that field set to zero and the sequence continues directly at step 6. Uniswap v4 encodes the hook's permissions in the least significant bits of its own contract address, so that the address determines which lifecycle functions it has enabled and avoids additional lookups at execution time. The practical consequence is that deploying a hook requires locating an address that contains the corresponding bit pattern. AML Hook requires the beforeSwap, afterSwap and dynamic fee modification permissions.</w:t>
      </w:r>
    </w:p>
    <w:p>
      <w:pPr>
        <w:spacing w:after="140" w:before="0" w:line="276"/>
      </w:pPr>
      <w:r>
        <w:rPr>
          <w:rFonts w:ascii="Calibri" w:cs="Calibri" w:eastAsia="Calibri" w:hAnsi="Calibri"/>
          <w:b/>
          <w:bCs/>
          <w:i w:val="false"/>
          <w:iCs w:val="false"/>
          <w:color w:val="000000"/>
          <w:sz w:val="21"/>
          <w:szCs w:val="21"/>
        </w:rPr>
        <w:t xml:space="preserve">Step 5. Execution of beforeSwap, AML Hook's first intervention. </w:t>
      </w:r>
      <w:r>
        <w:rPr>
          <w:rFonts w:ascii="Calibri" w:cs="Calibri" w:eastAsia="Calibri" w:hAnsi="Calibri"/>
          <w:b w:val="false"/>
          <w:bCs w:val="false"/>
          <w:i w:val="false"/>
          <w:iCs w:val="false"/>
          <w:color w:val="000000"/>
          <w:sz w:val="21"/>
          <w:szCs w:val="21"/>
        </w:rPr>
        <w:t xml:space="preserve">The PoolManager invokes the hook's beforeSwap function before executing any movement of funds. First the hook queries Layer 1: the on-chain registry of sanctioned addresses. On a confirmed match, the function reverts immediately and the transaction is cancelled in full, with no subsequent evaluation or margin of discretion. In the absence of a match, the hook reads the behavioral score stored in the oracle, calculated off-chain beforehand according to the scheme in section 3.8. It then queries its own cumulative state for that address, that is, the number of operations in the current window, the accumulated amount and the timestamp of the last operation, a read that does not depend on the oracle. With those signals it applies the ternary logic and produces one of three outputs. Low risk: it returns unmodified and the operation continues at the standard fee. Intermediate risk: it returns an increased fee that the PoolManager applies to this operation. High risk: it reverts the transaction, with the basis recorded.</w:t>
      </w:r>
    </w:p>
    <w:p>
      <w:pPr>
        <w:spacing w:after="140" w:before="0" w:line="276"/>
      </w:pPr>
      <w:r>
        <w:rPr>
          <w:rFonts w:ascii="Calibri" w:cs="Calibri" w:eastAsia="Calibri" w:hAnsi="Calibri"/>
          <w:b/>
          <w:bCs/>
          <w:i w:val="false"/>
          <w:iCs w:val="false"/>
          <w:color w:val="000000"/>
          <w:sz w:val="21"/>
          <w:szCs w:val="21"/>
        </w:rPr>
        <w:t xml:space="preserve">Step 6. Execution of the exchange and calculation of the BalanceDelta. </w:t>
      </w:r>
      <w:r>
        <w:rPr>
          <w:rFonts w:ascii="Calibri" w:cs="Calibri" w:eastAsia="Calibri" w:hAnsi="Calibri"/>
          <w:b w:val="false"/>
          <w:bCs w:val="false"/>
          <w:i w:val="false"/>
          <w:iCs w:val="false"/>
          <w:color w:val="000000"/>
          <w:sz w:val="21"/>
          <w:szCs w:val="21"/>
        </w:rPr>
        <w:t xml:space="preserve">The PoolManager executes the pool's arithmetic: tick traversal, determination of the execution price and calculation of the output amount. The result is expressed in a structure called BalanceDelta, which records each party's pending obligation with respect to each of the two currencies. At this stage no token has been transferred. Deferred accounting records balances in transient memory and defers settlement to the close of the sequence.</w:t>
      </w:r>
    </w:p>
    <w:p>
      <w:pPr>
        <w:spacing w:after="140" w:before="0" w:line="276"/>
      </w:pPr>
      <w:r>
        <w:rPr>
          <w:rFonts w:ascii="Calibri" w:cs="Calibri" w:eastAsia="Calibri" w:hAnsi="Calibri"/>
          <w:b/>
          <w:bCs/>
          <w:i w:val="false"/>
          <w:iCs w:val="false"/>
          <w:color w:val="000000"/>
          <w:sz w:val="21"/>
          <w:szCs w:val="21"/>
        </w:rPr>
        <w:t xml:space="preserve">Step 7. Execution of afterSwap, AML Hook's second intervention. </w:t>
      </w:r>
      <w:r>
        <w:rPr>
          <w:rFonts w:ascii="Calibri" w:cs="Calibri" w:eastAsia="Calibri" w:hAnsi="Calibri"/>
          <w:b w:val="false"/>
          <w:bCs w:val="false"/>
          <w:i w:val="false"/>
          <w:iCs w:val="false"/>
          <w:color w:val="000000"/>
          <w:sz w:val="21"/>
          <w:szCs w:val="21"/>
        </w:rPr>
        <w:t xml:space="preserve">Once the operation has executed, the PoolManager invokes the afterSwap function and passes it the result. This is the moment at which AML Hook writes state, which constitutes its structural difference from existing solutions. The hook updates the operation counter, the accumulated amount in the current window and the timestamp of the last operation. With the state already updated, it evaluates whether the accumulated behavior exceeds the configured thresholds for number of operations, aggregate amount or turnover velocity. It is the moment at which the detection of systematic fragmentation materializes, with no oracle involvement and no latency. A positive result raises the risk level applicable to that address's subsequent operations. Finally the hook emits an on-chain event with the address, the score, the decision adopted, the amount and the timestamp, which constitutes the input for the reporting module in section 3.6 and, in the later development track, for the analysis agent in section 9.5.</w:t>
      </w:r>
    </w:p>
    <w:p>
      <w:pPr>
        <w:spacing w:after="140" w:before="0" w:line="276"/>
      </w:pPr>
      <w:r>
        <w:rPr>
          <w:rFonts w:ascii="Calibri" w:cs="Calibri" w:eastAsia="Calibri" w:hAnsi="Calibri"/>
          <w:b/>
          <w:bCs/>
          <w:i w:val="false"/>
          <w:iCs w:val="false"/>
          <w:color w:val="000000"/>
          <w:sz w:val="21"/>
          <w:szCs w:val="21"/>
        </w:rPr>
        <w:t xml:space="preserve">Step 8. Settlement of pending balances. </w:t>
      </w:r>
      <w:r>
        <w:rPr>
          <w:rFonts w:ascii="Calibri" w:cs="Calibri" w:eastAsia="Calibri" w:hAnsi="Calibri"/>
          <w:b w:val="false"/>
          <w:bCs w:val="false"/>
          <w:i w:val="false"/>
          <w:iCs w:val="false"/>
          <w:color w:val="000000"/>
          <w:sz w:val="21"/>
          <w:szCs w:val="21"/>
        </w:rPr>
        <w:t xml:space="preserve">Control returns to the router, which must cancel the recorded obligations, transfer the currency delivered by the user and withdraw the currency acquired. The protocol provides for an alternative, consisting of keeping the credit balance within the PoolManager as a withdrawal right, without extracting the tokens.</w:t>
      </w:r>
    </w:p>
    <w:p>
      <w:pPr>
        <w:spacing w:after="140" w:before="0" w:line="276"/>
      </w:pPr>
      <w:r>
        <w:rPr>
          <w:rFonts w:ascii="Calibri" w:cs="Calibri" w:eastAsia="Calibri" w:hAnsi="Calibri"/>
          <w:b/>
          <w:bCs/>
          <w:i w:val="false"/>
          <w:iCs w:val="false"/>
          <w:color w:val="000000"/>
          <w:sz w:val="21"/>
          <w:szCs w:val="21"/>
        </w:rPr>
        <w:t xml:space="preserve">Step 9. Verification of zero balances and release of the lock. </w:t>
      </w:r>
      <w:r>
        <w:rPr>
          <w:rFonts w:ascii="Calibri" w:cs="Calibri" w:eastAsia="Calibri" w:hAnsi="Calibri"/>
          <w:b w:val="false"/>
          <w:bCs w:val="false"/>
          <w:i w:val="false"/>
          <w:iCs w:val="false"/>
          <w:color w:val="000000"/>
          <w:sz w:val="21"/>
          <w:szCs w:val="21"/>
        </w:rPr>
        <w:t xml:space="preserve">Once the router's actions are complete, the PoolManager verifies that all recorded obligations have reached zero. On any pending balance, it reverts the entire transaction. Once closure is verified, it releases the lock.</w:t>
      </w:r>
    </w:p>
    <w:p>
      <w:pPr>
        <w:spacing w:after="140" w:before="0" w:line="276"/>
      </w:pPr>
      <w:r>
        <w:rPr>
          <w:rFonts w:ascii="Calibri" w:cs="Calibri" w:eastAsia="Calibri" w:hAnsi="Calibri"/>
          <w:b/>
          <w:bCs/>
          <w:i w:val="false"/>
          <w:iCs w:val="false"/>
          <w:color w:val="000000"/>
          <w:sz w:val="21"/>
          <w:szCs w:val="21"/>
        </w:rPr>
        <w:t xml:space="preserve">Step 10. Block inclusion and confirmation. </w:t>
      </w:r>
      <w:r>
        <w:rPr>
          <w:rFonts w:ascii="Calibri" w:cs="Calibri" w:eastAsia="Calibri" w:hAnsi="Calibri"/>
          <w:b w:val="false"/>
          <w:bCs w:val="false"/>
          <w:i w:val="false"/>
          <w:iCs w:val="false"/>
          <w:color w:val="000000"/>
          <w:sz w:val="21"/>
          <w:szCs w:val="21"/>
        </w:rPr>
        <w:t xml:space="preserve">The transaction is incorporated into a block and reaches confirmation, in approximately twelve seconds on Ethereum mainnet and around one second on Unichain and most L2s.</w:t>
      </w:r>
    </w:p>
    <w:p>
      <w:pPr>
        <w:spacing w:after="140" w:before="0" w:line="276"/>
      </w:pPr>
      <w:r>
        <w:rPr>
          <w:rFonts w:ascii="Calibri" w:cs="Calibri" w:eastAsia="Calibri" w:hAnsi="Calibri"/>
          <w:b w:val="false"/>
          <w:bCs w:val="false"/>
          <w:i w:val="false"/>
          <w:iCs w:val="false"/>
          <w:color w:val="000000"/>
          <w:sz w:val="21"/>
          <w:szCs w:val="21"/>
        </w:rPr>
        <w:t xml:space="preserve">Of the ten steps described, AML Hook intervenes in two: step 5, before any movement of funds, and step 7, once the operation has executed. The rest of the sequence is identical to that of any Uniswap v4 pool. The structural difference relative to all existing solutions is concentrated in step 7, the only moment in the cycle at which the system records memory of the observed behavior.</w:t>
      </w:r>
    </w:p>
    <w:p>
      <w:pPr>
        <w:spacing w:after="140" w:before="280"/>
      </w:pPr>
      <w:r>
        <w:rPr>
          <w:rFonts w:ascii="Calibri" w:cs="Calibri" w:eastAsia="Calibri" w:hAnsi="Calibri"/>
          <w:b/>
          <w:bCs/>
          <w:i w:val="false"/>
          <w:iCs w:val="false"/>
          <w:color w:val="000000"/>
          <w:sz w:val="30"/>
          <w:szCs w:val="30"/>
        </w:rPr>
        <w:t xml:space="preserve">4. Legal and Regulatory Framework</w:t>
      </w:r>
    </w:p>
    <w:p>
      <w:pPr>
        <w:spacing w:after="120" w:before="220"/>
      </w:pPr>
      <w:r>
        <w:rPr>
          <w:rFonts w:ascii="Calibri" w:cs="Calibri" w:eastAsia="Calibri" w:hAnsi="Calibri"/>
          <w:b/>
          <w:bCs/>
          <w:i w:val="false"/>
          <w:iCs w:val="false"/>
          <w:color w:val="000000"/>
          <w:sz w:val="25"/>
          <w:szCs w:val="25"/>
        </w:rPr>
        <w:t xml:space="preserve">4.1 Applicable Frameworks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652"/>
        <w:gridCol w:w="6708"/>
      </w:tblGrid>
      <w:tr>
        <w:trPr>
          <w:tblHeader/>
        </w:trPr>
        <w:tc>
          <w:tcPr>
            <w:tcW w:type="dxa" w:w="2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Framework</w:t>
            </w:r>
          </w:p>
        </w:tc>
        <w:tc>
          <w:tcPr>
            <w:tcW w:type="dxa" w:w="670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Application in AML Hook</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OFAC/SDN Screening</w:t>
            </w:r>
          </w:p>
        </w:tc>
        <w:tc>
          <w:tcPr>
            <w:tcW w:type="dxa" w:w="670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Query of the Office of Foreign Assets Control list directly in Layer 1. Unconditional block on any match, with no discretion.</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FATF Recommendation 15 (VA)</w:t>
            </w:r>
          </w:p>
        </w:tc>
        <w:tc>
          <w:tcPr>
            <w:tcW w:type="dxa" w:w="670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The product operates under the FATF Rec. 15 standard (2018 revision) and the FATF Guidance on Virtual Assets 2021/2023. If the operating entity has any point of control over the protocol, it can be classified as a VASP, activating the full set of AML/CFT obligations.</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MiCA (Europe)</w:t>
            </w:r>
          </w:p>
        </w:tc>
        <w:tc>
          <w:tcPr>
            <w:tcW w:type="dxa" w:w="670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Requires virtual asset service providers to implement KYC and sanctions screening. A European DEX without the hook must run screening off-chain and block at the interface, which is easily bypassed. With the hook, the control is native to the protocol.</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SEC/CFTC Regulation (U.S.)</w:t>
            </w:r>
          </w:p>
        </w:tc>
        <w:tc>
          <w:tcPr>
            <w:tcW w:type="dxa" w:w="670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Compliance with broker-dealer obligations for operations involving assets that may be classified as securities. The reporting module generates the audit trail that allows controls to be demonstrated in an investigation.</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GENIUS Act (2025)</w:t>
            </w:r>
          </w:p>
        </w:tc>
        <w:tc>
          <w:tcPr>
            <w:tcW w:type="dxa" w:w="670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Legal framework enacted in the United States for fully reserved payment stablecoins. AML Hook is compatible with the Circle and USDC standards required by this framework.</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Transaction Monitoring (FATF / FinCEN)</w:t>
            </w:r>
          </w:p>
        </w:tc>
        <w:tc>
          <w:tcPr>
            <w:tcW w:type="dxa" w:w="670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Regulators do not require preventing 100% of fraud, they require a reasonable system of monitoring and documentation of actions taken. AML Hook implements transaction monitoring in real time at the protocol level, without needing wallet KYC, using behavior as a risk proxy. It is a genuinely new regulatory proposal for DeFi.</w:t>
            </w:r>
          </w:p>
        </w:tc>
      </w:tr>
    </w:tbl>
    <w:p>
      <w:pPr>
        <w:spacing w:after="140" w:before="0" w:line="276"/>
      </w:pPr>
      <w:r>
        <w:rPr>
          <w:rFonts w:ascii="Calibri" w:cs="Calibri" w:eastAsia="Calibri" w:hAnsi="Calibri"/>
          <w:b w:val="false"/>
          <w:bCs w:val="false"/>
          <w:i w:val="false"/>
          <w:iCs w:val="false"/>
          <w:color w:val="000000"/>
          <w:sz w:val="21"/>
          <w:szCs w:val="21"/>
        </w:rPr>
        <w:t xml:space="preserve">The prototype developed in UHI10 is built in conformity with FATF standards as an international reference baseline. The hook's modular architecture allows coverage to be extended to the specific jurisdictions in the table, MiCA, SEC/CFTC and the GENIUS Act, without modifying the contract's core logic. Each pool operator configures the regulatory layers that correspond to its jurisdiction.</w:t>
      </w:r>
    </w:p>
    <w:p>
      <w:pPr>
        <w:spacing w:after="120" w:before="220"/>
      </w:pPr>
      <w:r>
        <w:rPr>
          <w:rFonts w:ascii="Calibri" w:cs="Calibri" w:eastAsia="Calibri" w:hAnsi="Calibri"/>
          <w:b/>
          <w:bCs/>
          <w:i w:val="false"/>
          <w:iCs w:val="false"/>
          <w:color w:val="000000"/>
          <w:sz w:val="25"/>
          <w:szCs w:val="25"/>
        </w:rPr>
        <w:t xml:space="preserve">4.2 Operational Compliance Obligations</w:t>
      </w:r>
    </w:p>
    <w:p>
      <w:pPr>
        <w:spacing w:after="140" w:before="0" w:line="276"/>
      </w:pPr>
      <w:r>
        <w:rPr>
          <w:rFonts w:ascii="Calibri" w:cs="Calibri" w:eastAsia="Calibri" w:hAnsi="Calibri"/>
          <w:b w:val="false"/>
          <w:bCs w:val="false"/>
          <w:i w:val="false"/>
          <w:iCs w:val="false"/>
          <w:color w:val="000000"/>
          <w:sz w:val="21"/>
          <w:szCs w:val="21"/>
        </w:rPr>
        <w:t xml:space="preserve">The product must meet the following standards to be regulatorily viable.</w:t>
      </w:r>
    </w:p>
    <w:p>
      <w:pPr>
        <w:spacing w:after="140" w:before="0" w:line="276"/>
      </w:pPr>
      <w:r>
        <w:rPr>
          <w:rFonts w:ascii="Calibri" w:cs="Calibri" w:eastAsia="Calibri" w:hAnsi="Calibri"/>
          <w:b/>
          <w:bCs/>
          <w:i w:val="false"/>
          <w:iCs w:val="false"/>
          <w:color w:val="000000"/>
          <w:sz w:val="21"/>
          <w:szCs w:val="21"/>
        </w:rPr>
        <w:t xml:space="preserve">Source-of-funds screening (Rec. 3 / Rec. 10). </w:t>
      </w:r>
      <w:r>
        <w:rPr>
          <w:rFonts w:ascii="Calibri" w:cs="Calibri" w:eastAsia="Calibri" w:hAnsi="Calibri"/>
          <w:b w:val="false"/>
          <w:bCs w:val="false"/>
          <w:i w:val="false"/>
          <w:iCs w:val="false"/>
          <w:color w:val="000000"/>
          <w:sz w:val="21"/>
          <w:szCs w:val="21"/>
        </w:rPr>
        <w:t xml:space="preserve">Screening against OFAC/SDN lists combined with blockchain forensics from Chainalysis, TRM Labs or an equivalent, with N-hop backward tracing to detect self-laundering and mixed funds. The system cannot be binary, it must produce a risk score with documentary traceability.</w:t>
      </w:r>
    </w:p>
    <w:p>
      <w:pPr>
        <w:spacing w:after="140" w:before="0" w:line="276"/>
      </w:pPr>
      <w:r>
        <w:rPr>
          <w:rFonts w:ascii="Calibri" w:cs="Calibri" w:eastAsia="Calibri" w:hAnsi="Calibri"/>
          <w:b/>
          <w:bCs/>
          <w:i w:val="false"/>
          <w:iCs w:val="false"/>
          <w:color w:val="000000"/>
          <w:sz w:val="21"/>
          <w:szCs w:val="21"/>
        </w:rPr>
        <w:t xml:space="preserve">Ongoing CDD and monitoring (Rec. 10). </w:t>
      </w:r>
      <w:r>
        <w:rPr>
          <w:rFonts w:ascii="Calibri" w:cs="Calibri" w:eastAsia="Calibri" w:hAnsi="Calibri"/>
          <w:b w:val="false"/>
          <w:bCs w:val="false"/>
          <w:i w:val="false"/>
          <w:iCs w:val="false"/>
          <w:color w:val="000000"/>
          <w:sz w:val="21"/>
          <w:szCs w:val="21"/>
        </w:rPr>
        <w:t xml:space="preserve">Updating wallets' risk profiles over time, not only at onboarding, with an Enhanced Due Diligence threshold for high-risk transactions defined in internal policy.</w:t>
      </w:r>
    </w:p>
    <w:p>
      <w:pPr>
        <w:spacing w:after="140" w:before="0" w:line="276"/>
      </w:pPr>
      <w:r>
        <w:rPr>
          <w:rFonts w:ascii="Calibri" w:cs="Calibri" w:eastAsia="Calibri" w:hAnsi="Calibri"/>
          <w:b/>
          <w:bCs/>
          <w:i w:val="false"/>
          <w:iCs w:val="false"/>
          <w:color w:val="000000"/>
          <w:sz w:val="21"/>
          <w:szCs w:val="21"/>
        </w:rPr>
        <w:t xml:space="preserve">Record retention (Rec. 11). </w:t>
      </w:r>
      <w:r>
        <w:rPr>
          <w:rFonts w:ascii="Calibri" w:cs="Calibri" w:eastAsia="Calibri" w:hAnsi="Calibri"/>
          <w:b w:val="false"/>
          <w:bCs w:val="false"/>
          <w:i w:val="false"/>
          <w:iCs w:val="false"/>
          <w:color w:val="000000"/>
          <w:sz w:val="21"/>
          <w:szCs w:val="21"/>
        </w:rPr>
        <w:t xml:space="preserve">Immutable audit log of every decision, with timestamp, risk score, sources consulted and action taken, and a minimum retention of five years.</w:t>
      </w:r>
    </w:p>
    <w:p>
      <w:pPr>
        <w:spacing w:after="140" w:before="0" w:line="276"/>
      </w:pPr>
      <w:r>
        <w:rPr>
          <w:rFonts w:ascii="Calibri" w:cs="Calibri" w:eastAsia="Calibri" w:hAnsi="Calibri"/>
          <w:b/>
          <w:bCs/>
          <w:i w:val="false"/>
          <w:iCs w:val="false"/>
          <w:color w:val="000000"/>
          <w:sz w:val="21"/>
          <w:szCs w:val="21"/>
        </w:rPr>
        <w:t xml:space="preserve">Suspicious transaction reporting (Rec. 20). </w:t>
      </w:r>
      <w:r>
        <w:rPr>
          <w:rFonts w:ascii="Calibri" w:cs="Calibri" w:eastAsia="Calibri" w:hAnsi="Calibri"/>
          <w:b w:val="false"/>
          <w:bCs w:val="false"/>
          <w:i w:val="false"/>
          <w:iCs w:val="false"/>
          <w:color w:val="000000"/>
          <w:sz w:val="21"/>
          <w:szCs w:val="21"/>
        </w:rPr>
        <w:t xml:space="preserve">Automatic or manual trigger of an STR (Suspicious Transaction Report) when the risk score exceeds the defined threshold. The activation standard is reasonable suspicion, not certainty. Waiting for certainty is non-compliance.</w:t>
      </w:r>
    </w:p>
    <w:p>
      <w:pPr>
        <w:spacing w:after="140" w:before="280"/>
      </w:pPr>
      <w:r>
        <w:rPr>
          <w:rFonts w:ascii="Calibri" w:cs="Calibri" w:eastAsia="Calibri" w:hAnsi="Calibri"/>
          <w:b/>
          <w:bCs/>
          <w:i w:val="false"/>
          <w:iCs w:val="false"/>
          <w:color w:val="000000"/>
          <w:sz w:val="30"/>
          <w:szCs w:val="30"/>
        </w:rPr>
        <w:t xml:space="preserve">5. Competitive Differentiation</w:t>
      </w:r>
    </w:p>
    <w:p>
      <w:pPr>
        <w:spacing w:after="120" w:before="220"/>
      </w:pPr>
      <w:r>
        <w:rPr>
          <w:rFonts w:ascii="Calibri" w:cs="Calibri" w:eastAsia="Calibri" w:hAnsi="Calibri"/>
          <w:b/>
          <w:bCs/>
          <w:i w:val="false"/>
          <w:iCs w:val="false"/>
          <w:color w:val="000000"/>
          <w:sz w:val="25"/>
          <w:szCs w:val="25"/>
        </w:rPr>
        <w:t xml:space="preserve">5.1 Full Competitive Map</w:t>
      </w:r>
    </w:p>
    <w:p>
      <w:pPr>
        <w:spacing w:after="140" w:before="0" w:line="276"/>
      </w:pPr>
      <w:r>
        <w:rPr>
          <w:rFonts w:ascii="Calibri" w:cs="Calibri" w:eastAsia="Calibri" w:hAnsi="Calibri"/>
          <w:b w:val="false"/>
          <w:bCs w:val="false"/>
          <w:i w:val="false"/>
          <w:iCs w:val="false"/>
          <w:color w:val="000000"/>
          <w:sz w:val="21"/>
          <w:szCs w:val="21"/>
        </w:rPr>
        <w:t xml:space="preserve">The compliance-hooks space on Uniswap v4 has seven identifiable players, grouped into two categories.</w:t>
      </w:r>
    </w:p>
    <w:p>
      <w:pPr>
        <w:spacing w:after="80" w:before="60"/>
      </w:pPr>
      <w:r>
        <w:rPr>
          <w:rFonts w:ascii="Calibri" w:cs="Calibri" w:eastAsia="Calibri" w:hAnsi="Calibri"/>
          <w:b/>
          <w:bCs/>
          <w:i w:val="false"/>
          <w:iCs w:val="false"/>
          <w:color w:val="000000"/>
          <w:sz w:val="21"/>
          <w:szCs w:val="21"/>
        </w:rPr>
        <w:t xml:space="preserve">Group 1: Static identity verification (binary KYC)</w:t>
      </w:r>
    </w:p>
    <w:p>
      <w:pPr>
        <w:spacing w:after="140" w:before="0" w:line="276"/>
      </w:pPr>
      <w:r>
        <w:rPr>
          <w:rFonts w:ascii="Calibri" w:cs="Calibri" w:eastAsia="Calibri" w:hAnsi="Calibri"/>
          <w:b w:val="false"/>
          <w:bCs w:val="false"/>
          <w:i w:val="false"/>
          <w:iCs w:val="false"/>
          <w:color w:val="000000"/>
          <w:sz w:val="21"/>
          <w:szCs w:val="21"/>
        </w:rPr>
        <w:t xml:space="preserve">Civic Hook verifies KYC of identity documents by issuing a non-transferable NFT, the Civic Pass, with binary logic of holding or not holding the Pass. Violet Hooks uses the VioletID registry for identity checks, also binary. Attestation Hook is a generic framework for querying attestations, not AML-specific. Coinbase Verified Pools is limited to those already verified on Coinbase, pure static KYC. Uniswap Labs' Permissioned Pools, documented in July 2026, maintains an on-chain allowlist controlled by the asset issuer, verified on every swap and every liquidity contribution, with binary authorized-or-not logic.</w:t>
      </w:r>
    </w:p>
    <w:p>
      <w:pPr>
        <w:spacing w:after="80" w:before="60"/>
      </w:pPr>
      <w:r>
        <w:rPr>
          <w:rFonts w:ascii="Calibri" w:cs="Calibri" w:eastAsia="Calibri" w:hAnsi="Calibri"/>
          <w:b/>
          <w:bCs/>
          <w:i w:val="false"/>
          <w:iCs w:val="false"/>
          <w:color w:val="000000"/>
          <w:sz w:val="21"/>
          <w:szCs w:val="21"/>
        </w:rPr>
        <w:t xml:space="preserve">Group 2: Institutional compliance (AML/CFT with off-chain data)</w:t>
      </w:r>
    </w:p>
    <w:p>
      <w:pPr>
        <w:spacing w:after="140" w:before="0" w:line="276"/>
      </w:pPr>
      <w:r>
        <w:rPr>
          <w:rFonts w:ascii="Calibri" w:cs="Calibri" w:eastAsia="Calibri" w:hAnsi="Calibri"/>
          <w:b w:val="false"/>
          <w:bCs w:val="false"/>
          <w:i w:val="false"/>
          <w:iCs w:val="false"/>
          <w:color w:val="000000"/>
          <w:sz w:val="21"/>
          <w:szCs w:val="21"/>
        </w:rPr>
        <w:t xml:space="preserve">PureFi Verifier Hook uses ZK-proofs with tiered verification based on swap volume, with a single centralized issuer (AMLBot) and a score valid for 15 minutes, a point-in-time photograph with no cumulative profile. Predicate, with USDL and Paxos, received a USD 325,000 grant from the Uniswap Foundation and produces off-chain cryptographic attestations evaluated by a network of operators, in production on Ethereum Mainnet for wUSDL/USDC, with binary verification and no behavioral scoring.</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721"/>
        <w:gridCol w:w="1445"/>
        <w:gridCol w:w="1583"/>
        <w:gridCol w:w="964"/>
        <w:gridCol w:w="964"/>
        <w:gridCol w:w="1032"/>
        <w:gridCol w:w="1652"/>
      </w:tblGrid>
      <w:tr>
        <w:trPr>
          <w:tblHeader/>
        </w:trPr>
        <w:tc>
          <w:tcPr>
            <w:tcW w:type="dxa" w:w="1721"/>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Competitor</w:t>
            </w:r>
          </w:p>
        </w:tc>
        <w:tc>
          <w:tcPr>
            <w:tcW w:type="dxa" w:w="1445"/>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Active hook</w:t>
            </w:r>
          </w:p>
        </w:tc>
        <w:tc>
          <w:tcPr>
            <w:tcW w:type="dxa" w:w="1583"/>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Scoring type</w:t>
            </w:r>
          </w:p>
        </w:tc>
        <w:tc>
          <w:tcPr>
            <w:tcW w:type="dxa" w:w="96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Dynamic fee</w:t>
            </w:r>
          </w:p>
        </w:tc>
        <w:tc>
          <w:tcPr>
            <w:tcW w:type="dxa" w:w="96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afterSwap</w:t>
            </w:r>
          </w:p>
        </w:tc>
        <w:tc>
          <w:tcPr>
            <w:tcW w:type="dxa" w:w="103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Open protocol</w:t>
            </w:r>
          </w:p>
        </w:tc>
        <w:tc>
          <w:tcPr>
            <w:tcW w:type="dxa" w:w="1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Status</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PureFi</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Threshold by amount</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Partial</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Mainnet (UFI/BNB)</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Predicate/USDL</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Static attestation</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Mainnet (wUSDL/USDC)</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Coinbase Verified</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Static KYC</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Mainnet</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Civic Hook</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Identity</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Yes</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Deployable</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Violet Hooks</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Identity</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Yes</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Deployable</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Levery</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Bank KYC/KYB</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Institutional</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Permissioned Pools</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Issuer allowlist</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Yes</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Documented (Uniswap Labs)</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AML Hook</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beforeSwap + afterSwap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Historical behavioral</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Yes</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Yes</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Yes</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In development (UHI10)</w:t>
            </w:r>
          </w:p>
        </w:tc>
      </w:tr>
    </w:tbl>
    <w:p>
      <w:pPr>
        <w:spacing w:after="120" w:before="220"/>
      </w:pPr>
      <w:r>
        <w:rPr>
          <w:rFonts w:ascii="Calibri" w:cs="Calibri" w:eastAsia="Calibri" w:hAnsi="Calibri"/>
          <w:b/>
          <w:bCs/>
          <w:i w:val="false"/>
          <w:iCs w:val="false"/>
          <w:color w:val="000000"/>
          <w:sz w:val="25"/>
          <w:szCs w:val="25"/>
        </w:rPr>
        <w:t xml:space="preserve">5.2 Permissioned Pools, Uniswap Labs' Native Solution</w:t>
      </w:r>
    </w:p>
    <w:p>
      <w:pPr>
        <w:spacing w:after="140" w:before="0" w:line="276"/>
      </w:pPr>
      <w:r>
        <w:rPr>
          <w:rFonts w:ascii="Calibri" w:cs="Calibri" w:eastAsia="Calibri" w:hAnsi="Calibri"/>
          <w:b w:val="false"/>
          <w:bCs w:val="false"/>
          <w:i w:val="false"/>
          <w:iCs w:val="false"/>
          <w:color w:val="000000"/>
          <w:sz w:val="21"/>
          <w:szCs w:val="21"/>
        </w:rPr>
        <w:t xml:space="preserve">In July 2026, during the development of this project within UHI10, Uniswap Labs published the official documentation for Permissioned Pools. It is the first restricted-access solution documented by the protocol's own team, and for that reason it becomes the ecosystem's reference point.</w:t>
      </w:r>
    </w:p>
    <w:p>
      <w:pPr>
        <w:spacing w:after="80" w:before="160"/>
      </w:pPr>
      <w:r>
        <w:rPr>
          <w:rFonts w:ascii="Calibri" w:cs="Calibri" w:eastAsia="Calibri" w:hAnsi="Calibri"/>
          <w:b/>
          <w:bCs/>
          <w:i w:val="false"/>
          <w:iCs w:val="false"/>
          <w:color w:val="000000"/>
          <w:sz w:val="22"/>
          <w:szCs w:val="22"/>
        </w:rPr>
        <w:t xml:space="preserve">How it works</w:t>
      </w:r>
    </w:p>
    <w:p>
      <w:pPr>
        <w:spacing w:after="140" w:before="0" w:line="276"/>
      </w:pPr>
      <w:r>
        <w:rPr>
          <w:rFonts w:ascii="Calibri" w:cs="Calibri" w:eastAsia="Calibri" w:hAnsi="Calibri"/>
          <w:b w:val="false"/>
          <w:bCs w:val="false"/>
          <w:i w:val="false"/>
          <w:iCs w:val="false"/>
          <w:color w:val="000000"/>
          <w:sz w:val="21"/>
          <w:szCs w:val="21"/>
        </w:rPr>
        <w:t xml:space="preserve">The asset issuer maintains an on-chain allowlist of authorized addresses. Before each swap and each liquidity contribution, the hook queries that list and allows or reverts the operation. For a token with transfer restrictions to be compatible with Uniswap v4's standard PoolManager, the system introduces a wrapper contract called the Permissions Adapter: the restricted token is wrapped upon entering the pool and unwrapped upon leaving it, so that the holder always ends up with the original asset. The issuer retains the ability to pause swaps and liquidate positions, and the liquidity position NFTs are non-transferable to prevent bypassing the allowlist.</w:t>
      </w:r>
    </w:p>
    <w:p>
      <w:pPr>
        <w:spacing w:after="80" w:before="160"/>
      </w:pPr>
      <w:r>
        <w:rPr>
          <w:rFonts w:ascii="Calibri" w:cs="Calibri" w:eastAsia="Calibri" w:hAnsi="Calibri"/>
          <w:b/>
          <w:bCs/>
          <w:i w:val="false"/>
          <w:iCs w:val="false"/>
          <w:color w:val="000000"/>
          <w:sz w:val="22"/>
          <w:szCs w:val="22"/>
        </w:rPr>
        <w:t xml:space="preserve">What it solves</w:t>
      </w:r>
    </w:p>
    <w:p>
      <w:pPr>
        <w:spacing w:after="140" w:before="0" w:line="276"/>
      </w:pPr>
      <w:r>
        <w:rPr>
          <w:rFonts w:ascii="Calibri" w:cs="Calibri" w:eastAsia="Calibri" w:hAnsi="Calibri"/>
          <w:b w:val="false"/>
          <w:bCs w:val="false"/>
          <w:i w:val="false"/>
          <w:iCs w:val="false"/>
          <w:color w:val="000000"/>
          <w:sz w:val="21"/>
          <w:szCs w:val="21"/>
        </w:rPr>
        <w:t xml:space="preserve">It solves the problem of the issuer that needs to restrict who can have exposure to its asset. It is the Uniswap v4 translation of the model that Securitize already applied at the token level, and it correctly covers the cases of tokenized assets and regulated assets with transfer restrictions.</w:t>
      </w:r>
    </w:p>
    <w:p>
      <w:pPr>
        <w:spacing w:after="80" w:before="160"/>
      </w:pPr>
      <w:r>
        <w:rPr>
          <w:rFonts w:ascii="Calibri" w:cs="Calibri" w:eastAsia="Calibri" w:hAnsi="Calibri"/>
          <w:b/>
          <w:bCs/>
          <w:i w:val="false"/>
          <w:iCs w:val="false"/>
          <w:color w:val="000000"/>
          <w:sz w:val="22"/>
          <w:szCs w:val="22"/>
        </w:rPr>
        <w:t xml:space="preserve">What it does not solve</w:t>
      </w:r>
    </w:p>
    <w:p>
      <w:pPr>
        <w:spacing w:after="140" w:before="0" w:line="276"/>
      </w:pPr>
      <w:r>
        <w:rPr>
          <w:rFonts w:ascii="Calibri" w:cs="Calibri" w:eastAsia="Calibri" w:hAnsi="Calibri"/>
          <w:b w:val="false"/>
          <w:bCs w:val="false"/>
          <w:i w:val="false"/>
          <w:iCs w:val="false"/>
          <w:color w:val="000000"/>
          <w:sz w:val="21"/>
          <w:szCs w:val="21"/>
        </w:rPr>
        <w:t xml:space="preserve">The verification is binary, static and determined outside the protocol. The hook does not calculate a score, does not observe behavior, does not accumulate a per-wallet profile and does not calibrate its response. A wallet added to the allowlist after a valid KYC process can execute systematic structuring, layering or accelerated fund rotation within the pool without the system recording it, because the only question it asks is whether the address appears on the list. The continuous monitoring required by FATF Recommendation 10 falls outside its scope by design.</w:t>
      </w:r>
    </w:p>
    <w:p>
      <w:pPr>
        <w:spacing w:after="80" w:before="160"/>
      </w:pPr>
      <w:r>
        <w:rPr>
          <w:rFonts w:ascii="Calibri" w:cs="Calibri" w:eastAsia="Calibri" w:hAnsi="Calibri"/>
          <w:b/>
          <w:bCs/>
          <w:i w:val="false"/>
          <w:iCs w:val="false"/>
          <w:color w:val="000000"/>
          <w:sz w:val="22"/>
          <w:szCs w:val="22"/>
        </w:rPr>
        <w:t xml:space="preserve">Strategic implication</w:t>
      </w:r>
    </w:p>
    <w:p>
      <w:pPr>
        <w:spacing w:after="140" w:before="0" w:line="276"/>
      </w:pPr>
      <w:r>
        <w:rPr>
          <w:rFonts w:ascii="Calibri" w:cs="Calibri" w:eastAsia="Calibri" w:hAnsi="Calibri"/>
          <w:b w:val="false"/>
          <w:bCs w:val="false"/>
          <w:i w:val="false"/>
          <w:iCs w:val="false"/>
          <w:color w:val="000000"/>
          <w:sz w:val="21"/>
          <w:szCs w:val="21"/>
        </w:rPr>
        <w:t xml:space="preserve">Permissioned Pools does not compete with AML Hook, it defines the floor on which AML Hook builds. It is access control, and AML Hook is behavioral monitoring. A pool can adopt both, and the combination is more solid than either of the two separately. Its official publication also provides an external validation argument, since the team that builds Uniswap v4 recognizes that pool-level compliance is a real need of the ecosystem.</w:t>
      </w:r>
    </w:p>
    <w:p>
      <w:pPr>
        <w:spacing w:after="140" w:before="280"/>
      </w:pPr>
      <w:r>
        <w:rPr>
          <w:rFonts w:ascii="Calibri" w:cs="Calibri" w:eastAsia="Calibri" w:hAnsi="Calibri"/>
          <w:b/>
          <w:bCs/>
          <w:i w:val="false"/>
          <w:iCs w:val="false"/>
          <w:color w:val="000000"/>
          <w:sz w:val="30"/>
          <w:szCs w:val="30"/>
        </w:rPr>
        <w:t xml:space="preserve">6. Target Market and Customers</w:t>
      </w:r>
    </w:p>
    <w:p>
      <w:pPr>
        <w:spacing w:after="120" w:before="220"/>
      </w:pPr>
      <w:r>
        <w:rPr>
          <w:rFonts w:ascii="Calibri" w:cs="Calibri" w:eastAsia="Calibri" w:hAnsi="Calibri"/>
          <w:b/>
          <w:bCs/>
          <w:i w:val="false"/>
          <w:iCs w:val="false"/>
          <w:color w:val="000000"/>
          <w:sz w:val="25"/>
          <w:szCs w:val="25"/>
        </w:rPr>
        <w:t xml:space="preserve">6.1 Market Size</w:t>
      </w:r>
    </w:p>
    <w:p>
      <w:pPr>
        <w:spacing w:after="140" w:before="0" w:line="276"/>
      </w:pPr>
      <w:r>
        <w:rPr>
          <w:rFonts w:ascii="Calibri" w:cs="Calibri" w:eastAsia="Calibri" w:hAnsi="Calibri"/>
          <w:b w:val="false"/>
          <w:bCs w:val="false"/>
          <w:i w:val="false"/>
          <w:iCs w:val="false"/>
          <w:color w:val="000000"/>
          <w:sz w:val="21"/>
          <w:szCs w:val="21"/>
        </w:rPr>
        <w:t xml:space="preserve">The market argument is built in three layers.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248"/>
        <w:gridCol w:w="2496"/>
        <w:gridCol w:w="5616"/>
      </w:tblGrid>
      <w:tr>
        <w:trPr>
          <w:tblHeader/>
        </w:trPr>
        <w:tc>
          <w:tcPr>
            <w:tcW w:type="dxa" w:w="124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Layer</w:t>
            </w:r>
          </w:p>
        </w:tc>
        <w:tc>
          <w:tcPr>
            <w:tcW w:type="dxa" w:w="249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Name</w:t>
            </w:r>
          </w:p>
        </w:tc>
        <w:tc>
          <w:tcPr>
            <w:tcW w:type="dxa" w:w="561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Size</w:t>
            </w:r>
          </w:p>
        </w:tc>
      </w:tr>
      <w:tr>
        <w:tc>
          <w:tcPr>
            <w:tcW w:type="dxa" w:w="12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TAM</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Total addressable market</w:t>
            </w:r>
          </w:p>
        </w:tc>
        <w:tc>
          <w:tcPr>
            <w:tcW w:type="dxa" w:w="561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The tokenized RWA market reaches USD 100 billion by the end of 2026, with BCG and Ripple projections that take it to USD 18.9 trillion by 2033.</w:t>
            </w:r>
          </w:p>
        </w:tc>
      </w:tr>
      <w:tr>
        <w:tc>
          <w:tcPr>
            <w:tcW w:type="dxa" w:w="124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SAM</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Serviceable market</w:t>
            </w:r>
          </w:p>
        </w:tc>
        <w:tc>
          <w:tcPr>
            <w:tcW w:type="dxa" w:w="561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The mid-market private credit and non-institutional RWA segment that needs compliance but does not have access to enterprise solutions. Today it is around USD 5 billion in active on-chain private credit outside the large players. By 2027, potentially USD 15 billion.</w:t>
            </w:r>
          </w:p>
        </w:tc>
      </w:tr>
      <w:tr>
        <w:tc>
          <w:tcPr>
            <w:tcW w:type="dxa" w:w="12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SOM</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Initial market</w:t>
            </w:r>
          </w:p>
        </w:tc>
        <w:tc>
          <w:tcPr>
            <w:tcW w:type="dxa" w:w="561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The pools of Centrifuge, Goldfinch, Clearpool and equivalent protocols that already have active liquidity and need to differentiate on compliance in order to grow. They are dozens of concrete, identifiable pools, with measurable TVL.</w:t>
            </w:r>
          </w:p>
        </w:tc>
      </w:tr>
    </w:tbl>
    <w:p>
      <w:pPr>
        <w:spacing w:after="120" w:before="220"/>
      </w:pPr>
      <w:r>
        <w:rPr>
          <w:rFonts w:ascii="Calibri" w:cs="Calibri" w:eastAsia="Calibri" w:hAnsi="Calibri"/>
          <w:b/>
          <w:bCs/>
          <w:i w:val="false"/>
          <w:iCs w:val="false"/>
          <w:color w:val="000000"/>
          <w:sz w:val="25"/>
          <w:szCs w:val="25"/>
        </w:rPr>
        <w:t xml:space="preserve">6.2 The Strategic Segment: Mid-Market Private Credit</w:t>
      </w:r>
    </w:p>
    <w:p>
      <w:pPr>
        <w:spacing w:after="140" w:before="0" w:line="276"/>
      </w:pPr>
      <w:r>
        <w:rPr>
          <w:rFonts w:ascii="Calibri" w:cs="Calibri" w:eastAsia="Calibri" w:hAnsi="Calibri"/>
          <w:b w:val="false"/>
          <w:bCs w:val="false"/>
          <w:i w:val="false"/>
          <w:iCs w:val="false"/>
          <w:color w:val="000000"/>
          <w:sz w:val="21"/>
          <w:szCs w:val="21"/>
        </w:rPr>
        <w:t xml:space="preserve">On-chain private credit reached USD 3.2 billion in March 2026 (</w:t>
      </w:r>
      <w:hyperlink w:history="1" r:id="rIdmmpb5brgmc7mai_tj22cp">
        <w:r>
          <w:rPr>
            <w:rStyle w:val="Hyperlink"/>
            <w:rFonts w:ascii="Calibri" w:cs="Calibri" w:eastAsia="Calibri" w:hAnsi="Calibri"/>
            <w:sz w:val="21"/>
            <w:szCs w:val="21"/>
          </w:rPr>
          <w:t xml:space="preserve">link</w:t>
        </w:r>
      </w:hyperlink>
      <w:r>
        <w:rPr>
          <w:rFonts w:ascii="Calibri" w:cs="Calibri" w:eastAsia="Calibri" w:hAnsi="Calibri"/>
          <w:b w:val="false"/>
          <w:bCs w:val="false"/>
          <w:i w:val="false"/>
          <w:iCs w:val="false"/>
          <w:color w:val="000000"/>
          <w:sz w:val="21"/>
          <w:szCs w:val="21"/>
        </w:rPr>
        <w:t xml:space="preserve">), up 180% year over year. This segment is the right target for three specific reasons.</w:t>
      </w:r>
    </w:p>
    <w:p>
      <w:pPr>
        <w:spacing w:after="140" w:before="0" w:line="276"/>
      </w:pPr>
      <w:r>
        <w:rPr>
          <w:rFonts w:ascii="Calibri" w:cs="Calibri" w:eastAsia="Calibri" w:hAnsi="Calibri"/>
          <w:b/>
          <w:bCs/>
          <w:i w:val="false"/>
          <w:iCs w:val="false"/>
          <w:color w:val="000000"/>
          <w:sz w:val="21"/>
          <w:szCs w:val="21"/>
        </w:rPr>
        <w:t xml:space="preserve">No access to enterprise solutions. </w:t>
      </w:r>
      <w:r>
        <w:rPr>
          <w:rFonts w:ascii="Calibri" w:cs="Calibri" w:eastAsia="Calibri" w:hAnsi="Calibri"/>
          <w:b w:val="false"/>
          <w:bCs w:val="false"/>
          <w:i w:val="false"/>
          <w:iCs w:val="false"/>
          <w:color w:val="000000"/>
          <w:sz w:val="21"/>
          <w:szCs w:val="21"/>
        </w:rPr>
        <w:t xml:space="preserve">They have no access to Predicate. Issuers such as Maple, Centrifuge and Goldfinch structure senior secured loans, SME financing and receivables in tokenized formats. None has a relationship with Predicate or Paxos's compliance budget.</w:t>
      </w:r>
    </w:p>
    <w:p>
      <w:pPr>
        <w:spacing w:after="140" w:before="0" w:line="276"/>
      </w:pPr>
      <w:r>
        <w:rPr>
          <w:rFonts w:ascii="Calibri" w:cs="Calibri" w:eastAsia="Calibri" w:hAnsi="Calibri"/>
          <w:b/>
          <w:bCs/>
          <w:i w:val="false"/>
          <w:iCs w:val="false"/>
          <w:color w:val="000000"/>
          <w:sz w:val="21"/>
          <w:szCs w:val="21"/>
        </w:rPr>
        <w:t xml:space="preserve">Consolidation creates the gap. </w:t>
      </w:r>
      <w:r>
        <w:rPr>
          <w:rFonts w:ascii="Calibri" w:cs="Calibri" w:eastAsia="Calibri" w:hAnsi="Calibri"/>
          <w:b w:val="false"/>
          <w:bCs w:val="false"/>
          <w:i w:val="false"/>
          <w:iCs w:val="false"/>
          <w:color w:val="000000"/>
          <w:sz w:val="21"/>
          <w:szCs w:val="21"/>
        </w:rPr>
        <w:t xml:space="preserve">Sector consolidation is a signal of opportunity. Centrifuge saw its market share fall from 20.6% to 3.3%, and Goldfinch from 17.6% to 2.5%. The protocols losing ground do so in part because they cannot offer the compliance guarantees that Maple's institutional pools do offer.</w:t>
      </w:r>
    </w:p>
    <w:p>
      <w:pPr>
        <w:spacing w:after="140" w:before="0" w:line="276"/>
      </w:pPr>
      <w:r>
        <w:rPr>
          <w:rFonts w:ascii="Calibri" w:cs="Calibri" w:eastAsia="Calibri" w:hAnsi="Calibri"/>
          <w:b/>
          <w:bCs/>
          <w:i w:val="false"/>
          <w:iCs w:val="false"/>
          <w:color w:val="000000"/>
          <w:sz w:val="21"/>
          <w:szCs w:val="21"/>
        </w:rPr>
        <w:t xml:space="preserve">Yields justify the cost of compliance. </w:t>
      </w:r>
      <w:r>
        <w:rPr>
          <w:rFonts w:ascii="Calibri" w:cs="Calibri" w:eastAsia="Calibri" w:hAnsi="Calibri"/>
          <w:b w:val="false"/>
          <w:bCs w:val="false"/>
          <w:i w:val="false"/>
          <w:iCs w:val="false"/>
          <w:color w:val="000000"/>
          <w:sz w:val="21"/>
          <w:szCs w:val="21"/>
        </w:rPr>
        <w:t xml:space="preserve">Private credit yields in 2026 are between 8% and 12%, well above the 4% to 5% available on Treasuries. A pool that can demonstrate credible AML controls justifies that yield differential to institutional investors who would not otherwise enter.</w:t>
      </w:r>
    </w:p>
    <w:p>
      <w:pPr>
        <w:spacing w:after="120" w:before="220"/>
      </w:pPr>
      <w:r>
        <w:rPr>
          <w:rFonts w:ascii="Calibri" w:cs="Calibri" w:eastAsia="Calibri" w:hAnsi="Calibri"/>
          <w:b/>
          <w:bCs/>
          <w:i w:val="false"/>
          <w:iCs w:val="false"/>
          <w:color w:val="000000"/>
          <w:sz w:val="25"/>
          <w:szCs w:val="25"/>
        </w:rPr>
        <w:t xml:space="preserve">6.3 Additional Segments</w:t>
      </w:r>
    </w:p>
    <w:p>
      <w:pPr>
        <w:spacing w:after="140" w:before="0" w:line="276"/>
      </w:pPr>
      <w:r>
        <w:rPr>
          <w:rFonts w:ascii="Calibri" w:cs="Calibri" w:eastAsia="Calibri" w:hAnsi="Calibri"/>
          <w:b/>
          <w:bCs/>
          <w:i w:val="false"/>
          <w:iCs w:val="false"/>
          <w:color w:val="000000"/>
          <w:sz w:val="21"/>
          <w:szCs w:val="21"/>
        </w:rPr>
        <w:t xml:space="preserve">DeFi protocols that want institutional access. </w:t>
      </w:r>
      <w:r>
        <w:rPr>
          <w:rFonts w:ascii="Calibri" w:cs="Calibri" w:eastAsia="Calibri" w:hAnsi="Calibri"/>
          <w:b w:val="false"/>
          <w:bCs w:val="false"/>
          <w:i w:val="false"/>
          <w:iCs w:val="false"/>
          <w:color w:val="000000"/>
          <w:sz w:val="21"/>
          <w:szCs w:val="21"/>
        </w:rPr>
        <w:t xml:space="preserve">Institutional funds such as BlackRock, Fidelity and Franklin Templeton cannot interact with anonymous pools. Their regulatory obligations prevent them from depositing into a contract where the counterparty may be a sanctioned or unverified address. If a DeFi protocol wants those funds to be LPs, it needs to offer them a pool with embedded compliance.</w:t>
      </w:r>
    </w:p>
    <w:p>
      <w:pPr>
        <w:spacing w:after="140" w:before="0" w:line="276"/>
      </w:pPr>
      <w:r>
        <w:rPr>
          <w:rFonts w:ascii="Calibri" w:cs="Calibri" w:eastAsia="Calibri" w:hAnsi="Calibri"/>
          <w:b/>
          <w:bCs/>
          <w:i w:val="false"/>
          <w:iCs w:val="false"/>
          <w:color w:val="000000"/>
          <w:sz w:val="21"/>
          <w:szCs w:val="21"/>
        </w:rPr>
        <w:t xml:space="preserve">Protocols that issue RWA. </w:t>
      </w:r>
      <w:r>
        <w:rPr>
          <w:rFonts w:ascii="Calibri" w:cs="Calibri" w:eastAsia="Calibri" w:hAnsi="Calibri"/>
          <w:b w:val="false"/>
          <w:bCs w:val="false"/>
          <w:i w:val="false"/>
          <w:iCs w:val="false"/>
          <w:color w:val="000000"/>
          <w:sz w:val="21"/>
          <w:szCs w:val="21"/>
        </w:rPr>
        <w:t xml:space="preserve">If a protocol tokenizes treasury bonds, real estate or commercial invoices, the underlying asset carries regulatory transfer obligations. The hook imposes those restrictions directly in the liquidity pool. The Securitize-BlackRock-Uniswap case (BUIDL) is exactly this model. Securitize implements those restrictions in the token itself, within the transfer function of the ERC-20 (Ethereum Request for Comments 20) standard, which creates incompatibility with Uniswap v4's PoolManager, which moves balances internally through ERC-6909 without invoking transfer. Permissioned Pools resolves that incompatibility by moving the token verification to the pool through a wrapper contract. The underlying compliance model is identical in both cases, an allowlist managed by the issuer. AML Hook operates on the next layer, which neither of the two covers.</w:t>
      </w:r>
    </w:p>
    <w:p>
      <w:pPr>
        <w:spacing w:after="140" w:before="0" w:line="276"/>
      </w:pPr>
      <w:r>
        <w:rPr>
          <w:rFonts w:ascii="Calibri" w:cs="Calibri" w:eastAsia="Calibri" w:hAnsi="Calibri"/>
          <w:b/>
          <w:bCs/>
          <w:i w:val="false"/>
          <w:iCs w:val="false"/>
          <w:color w:val="000000"/>
          <w:sz w:val="21"/>
          <w:szCs w:val="21"/>
        </w:rPr>
        <w:t xml:space="preserve">Decentralized exchanges under VASP license. </w:t>
      </w:r>
      <w:r>
        <w:rPr>
          <w:rFonts w:ascii="Calibri" w:cs="Calibri" w:eastAsia="Calibri" w:hAnsi="Calibri"/>
          <w:b w:val="false"/>
          <w:bCs w:val="false"/>
          <w:i w:val="false"/>
          <w:iCs w:val="false"/>
          <w:color w:val="000000"/>
          <w:sz w:val="21"/>
          <w:szCs w:val="21"/>
        </w:rPr>
        <w:t xml:space="preserve">MiCA in Europe requires virtual asset service providers to implement KYC and sanctions screening. A DEX operating under a MiCA license needs its pools to have those verifications. Without the hook, the DEX would have to run screening off-chain and block at the interface level, which is easily bypassed by interacting directly with the contract.</w:t>
      </w:r>
    </w:p>
    <w:p>
      <w:pPr>
        <w:spacing w:after="140" w:before="0" w:line="276"/>
      </w:pPr>
      <w:r>
        <w:rPr>
          <w:rFonts w:ascii="Calibri" w:cs="Calibri" w:eastAsia="Calibri" w:hAnsi="Calibri"/>
          <w:b/>
          <w:bCs/>
          <w:i w:val="false"/>
          <w:iCs w:val="false"/>
          <w:color w:val="000000"/>
          <w:sz w:val="21"/>
          <w:szCs w:val="21"/>
        </w:rPr>
        <w:t xml:space="preserve">Institutional market makers with their own AML obligations. </w:t>
      </w:r>
      <w:r>
        <w:rPr>
          <w:rFonts w:ascii="Calibri" w:cs="Calibri" w:eastAsia="Calibri" w:hAnsi="Calibri"/>
          <w:b w:val="false"/>
          <w:bCs w:val="false"/>
          <w:i w:val="false"/>
          <w:iCs w:val="false"/>
          <w:color w:val="000000"/>
          <w:sz w:val="21"/>
          <w:szCs w:val="21"/>
        </w:rPr>
        <w:t xml:space="preserve">Jump Crypto, Wintermute and Cumberland are regulated entities that provide liquidity in DeFi but have their own AML obligations. If the pool in which they operate has no control, their regulatory exposure is real and they cannot participate.</w:t>
      </w:r>
    </w:p>
    <w:p>
      <w:pPr>
        <w:spacing w:after="120" w:before="220"/>
      </w:pPr>
      <w:r>
        <w:rPr>
          <w:rFonts w:ascii="Calibri" w:cs="Calibri" w:eastAsia="Calibri" w:hAnsi="Calibri"/>
          <w:b/>
          <w:bCs/>
          <w:i w:val="false"/>
          <w:iCs w:val="false"/>
          <w:color w:val="000000"/>
          <w:sz w:val="25"/>
          <w:szCs w:val="25"/>
        </w:rPr>
        <w:t xml:space="preserve">6.4 Concrete Potential Customers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340"/>
        <w:gridCol w:w="2340"/>
        <w:gridCol w:w="4680"/>
      </w:tblGrid>
      <w:tr>
        <w:trPr>
          <w:tblHeader/>
        </w:trPr>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Entity</w:t>
            </w:r>
          </w:p>
        </w:tc>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Category</w:t>
            </w:r>
          </w:p>
        </w:tc>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Problem AML Hook solves</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Centrifuge</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Mid-market private credit</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Needs compliance to compete with Maple and access institutional capital without Paxos's budget</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Goldfinch</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Mid-market private credit</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Market share loss correlated with the absence of institutional compliance guarantees</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Clearpool</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Mid-market private credit</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Uncollateralized liquidity pools that need counterparty controls</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Ondo Finance</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Institutional RWA</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Tokenizes Treasury bonds and operates with manual allowlists due to the absence of native compliance</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European operators under MiCA</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Regulated DEXs</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Need to demonstrate AML compliance to regulators and today have no native response on Uniswap v4</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Coinbase / Kraken</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Exchanges with DeFi ambitions</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Licenses that require them to maintain AML standards even in decentralized operations</w:t>
            </w:r>
          </w:p>
        </w:tc>
      </w:tr>
    </w:tbl>
    <w:p>
      <w:pPr>
        <w:spacing w:after="140" w:before="280"/>
      </w:pPr>
      <w:r>
        <w:rPr>
          <w:rFonts w:ascii="Calibri" w:cs="Calibri" w:eastAsia="Calibri" w:hAnsi="Calibri"/>
          <w:b/>
          <w:bCs/>
          <w:i w:val="false"/>
          <w:iCs w:val="false"/>
          <w:color w:val="000000"/>
          <w:sz w:val="30"/>
          <w:szCs w:val="30"/>
        </w:rPr>
        <w:t xml:space="preserve">7. Open Protocol and Governance Model</w:t>
      </w:r>
    </w:p>
    <w:p>
      <w:pPr>
        <w:spacing w:after="120" w:before="220"/>
      </w:pPr>
      <w:r>
        <w:rPr>
          <w:rFonts w:ascii="Calibri" w:cs="Calibri" w:eastAsia="Calibri" w:hAnsi="Calibri"/>
          <w:b/>
          <w:bCs/>
          <w:i w:val="false"/>
          <w:iCs w:val="false"/>
          <w:color w:val="000000"/>
          <w:sz w:val="25"/>
          <w:szCs w:val="25"/>
        </w:rPr>
        <w:t xml:space="preserve">7.1 The Three Dimensions of Openness</w:t>
      </w:r>
    </w:p>
    <w:p>
      <w:pPr>
        <w:spacing w:after="140" w:before="0" w:line="276"/>
      </w:pPr>
      <w:r>
        <w:rPr>
          <w:rFonts w:ascii="Calibri" w:cs="Calibri" w:eastAsia="Calibri" w:hAnsi="Calibri"/>
          <w:b/>
          <w:bCs/>
          <w:i w:val="false"/>
          <w:iCs w:val="false"/>
          <w:color w:val="000000"/>
          <w:sz w:val="21"/>
          <w:szCs w:val="21"/>
        </w:rPr>
        <w:t xml:space="preserve">Open at the code level. </w:t>
      </w:r>
      <w:r>
        <w:rPr>
          <w:rFonts w:ascii="Calibri" w:cs="Calibri" w:eastAsia="Calibri" w:hAnsi="Calibri"/>
          <w:b w:val="false"/>
          <w:bCs w:val="false"/>
          <w:i w:val="false"/>
          <w:iCs w:val="false"/>
          <w:color w:val="000000"/>
          <w:sz w:val="21"/>
          <w:szCs w:val="21"/>
        </w:rPr>
        <w:t xml:space="preserve">The hook contract is open source, verifiable on Etherscan, forkable and auditable. A regulator or a financial institution that wants to use AML Hook needs to be able to audit exactly what the contract does.</w:t>
      </w:r>
    </w:p>
    <w:p>
      <w:pPr>
        <w:spacing w:after="140" w:before="0" w:line="276"/>
      </w:pPr>
      <w:r>
        <w:rPr>
          <w:rFonts w:ascii="Calibri" w:cs="Calibri" w:eastAsia="Calibri" w:hAnsi="Calibri"/>
          <w:b/>
          <w:bCs/>
          <w:i w:val="false"/>
          <w:iCs w:val="false"/>
          <w:color w:val="000000"/>
          <w:sz w:val="21"/>
          <w:szCs w:val="21"/>
        </w:rPr>
        <w:t xml:space="preserve">Open at the pool-operator level. </w:t>
      </w:r>
      <w:r>
        <w:rPr>
          <w:rFonts w:ascii="Calibri" w:cs="Calibri" w:eastAsia="Calibri" w:hAnsi="Calibri"/>
          <w:b w:val="false"/>
          <w:bCs w:val="false"/>
          <w:i w:val="false"/>
          <w:iCs w:val="false"/>
          <w:color w:val="000000"/>
          <w:sz w:val="21"/>
          <w:szCs w:val="21"/>
        </w:rPr>
        <w:t xml:space="preserve">Any person or entity can create a Uniswap v4 pool that uses AML Hook, unlike Predicate, where the framework implies a commercial relationship with the team for implementation support. The existence of Permissioned Pools as an official Uniswap Labs hook does not change this point, since they are different layers of the compliance stack and a pool can adopt AML Hook regardless of whether or not it uses the Labs access solution.</w:t>
      </w:r>
    </w:p>
    <w:p>
      <w:pPr>
        <w:spacing w:after="140" w:before="0" w:line="276"/>
      </w:pPr>
      <w:r>
        <w:rPr>
          <w:rFonts w:ascii="Calibri" w:cs="Calibri" w:eastAsia="Calibri" w:hAnsi="Calibri"/>
          <w:b/>
          <w:bCs/>
          <w:i w:val="false"/>
          <w:iCs w:val="false"/>
          <w:color w:val="000000"/>
          <w:sz w:val="21"/>
          <w:szCs w:val="21"/>
        </w:rPr>
        <w:t xml:space="preserve">Open at the data-provider level. </w:t>
      </w:r>
      <w:r>
        <w:rPr>
          <w:rFonts w:ascii="Calibri" w:cs="Calibri" w:eastAsia="Calibri" w:hAnsi="Calibri"/>
          <w:b w:val="false"/>
          <w:bCs w:val="false"/>
          <w:i w:val="false"/>
          <w:iCs w:val="false"/>
          <w:color w:val="000000"/>
          <w:sz w:val="21"/>
          <w:szCs w:val="21"/>
        </w:rPr>
        <w:t xml:space="preserve">The architecture allows the pool operator to choose its risk oracle, Chainalysis, AMLBot, TRM Labs or a proprietary provider. Any provider that implements the IComplianceOracle interface can be used.</w:t>
      </w:r>
    </w:p>
    <w:p>
      <w:pPr>
        <w:spacing w:after="120" w:before="220"/>
      </w:pPr>
      <w:r>
        <w:rPr>
          <w:rFonts w:ascii="Calibri" w:cs="Calibri" w:eastAsia="Calibri" w:hAnsi="Calibri"/>
          <w:b/>
          <w:bCs/>
          <w:i w:val="false"/>
          <w:iCs w:val="false"/>
          <w:color w:val="000000"/>
          <w:sz w:val="25"/>
          <w:szCs w:val="25"/>
        </w:rPr>
        <w:t xml:space="preserve">7.2 Why Not Have a Native Token</w:t>
      </w:r>
    </w:p>
    <w:p>
      <w:pPr>
        <w:spacing w:after="140" w:before="0" w:line="276"/>
      </w:pPr>
      <w:r>
        <w:rPr>
          <w:rFonts w:ascii="Calibri" w:cs="Calibri" w:eastAsia="Calibri" w:hAnsi="Calibri"/>
          <w:b w:val="false"/>
          <w:bCs w:val="false"/>
          <w:i w:val="false"/>
          <w:iCs w:val="false"/>
          <w:color w:val="000000"/>
          <w:sz w:val="21"/>
          <w:szCs w:val="21"/>
        </w:rPr>
        <w:t xml:space="preserve">The decision not to issue a native token responds to three reasons. The first is regulatory, since a native token can be classified as a security under the Howey test. The second is adoption, because financial institutions do not want exposure to a speculative token in order to use on-chain compliance. And the third is neutrality, since a token introduces a financial incentive for the team that erodes the credibility of the compliance system.</w:t>
      </w:r>
    </w:p>
    <w:p>
      <w:pPr>
        <w:spacing w:after="120" w:before="220"/>
      </w:pPr>
      <w:r>
        <w:rPr>
          <w:rFonts w:ascii="Calibri" w:cs="Calibri" w:eastAsia="Calibri" w:hAnsi="Calibri"/>
          <w:b/>
          <w:bCs/>
          <w:i w:val="false"/>
          <w:iCs w:val="false"/>
          <w:color w:val="000000"/>
          <w:sz w:val="25"/>
          <w:szCs w:val="25"/>
        </w:rPr>
        <w:t xml:space="preserve">7.3 Immutable and Governable Parameters</w:t>
      </w:r>
    </w:p>
    <w:p>
      <w:pPr>
        <w:spacing w:after="140" w:before="0" w:line="276"/>
      </w:pPr>
      <w:r>
        <w:rPr>
          <w:rFonts w:ascii="Calibri" w:cs="Calibri" w:eastAsia="Calibri" w:hAnsi="Calibri"/>
          <w:b w:val="false"/>
          <w:bCs w:val="false"/>
          <w:i w:val="false"/>
          <w:iCs w:val="false"/>
          <w:color w:val="000000"/>
          <w:sz w:val="21"/>
          <w:szCs w:val="21"/>
        </w:rPr>
        <w:t xml:space="preserve">The system clearly separates the immutable from the governable. The contract's core logic is not modified, while the policy parameters are adjusted according to the jurisdiction and profile of each pool.</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4680"/>
        <w:gridCol w:w="4680"/>
      </w:tblGrid>
      <w:tr>
        <w:trPr>
          <w:tblHeader/>
        </w:trPr>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Immutable (not modifiable)</w:t>
            </w:r>
          </w:p>
        </w:tc>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Governable (adjustable by internal policy)</w:t>
            </w:r>
          </w:p>
        </w:tc>
      </w:tr>
      <w:tr>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Logic of the three outputs</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Score thresholds per output (0-30 / 31-70 / 71-100)</w:t>
            </w:r>
          </w:p>
        </w:tc>
      </w:tr>
      <w:tr>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Oracle interface (IComplianceOracle)</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Oracle provider authorized per pool</w:t>
            </w:r>
          </w:p>
        </w:tc>
      </w:tr>
      <w:tr>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Signature verification mechanism</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Differential fee parameters</w:t>
            </w:r>
          </w:p>
        </w:tc>
      </w:tr>
      <w:tr>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Unconditional block on OFAC match</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Unhosted wallet policy</w:t>
            </w:r>
          </w:p>
        </w:tc>
      </w:tr>
    </w:tbl>
    <w:p>
      <w:pPr>
        <w:spacing w:after="140" w:before="280"/>
      </w:pPr>
      <w:r>
        <w:rPr>
          <w:rFonts w:ascii="Calibri" w:cs="Calibri" w:eastAsia="Calibri" w:hAnsi="Calibri"/>
          <w:b/>
          <w:bCs/>
          <w:i w:val="false"/>
          <w:iCs w:val="false"/>
          <w:color w:val="000000"/>
          <w:sz w:val="30"/>
          <w:szCs w:val="30"/>
        </w:rPr>
        <w:t xml:space="preserve">8. Tooling and Provider Ecosystem</w:t>
      </w:r>
    </w:p>
    <w:p>
      <w:pPr>
        <w:spacing w:after="120" w:before="220"/>
      </w:pPr>
      <w:r>
        <w:rPr>
          <w:rFonts w:ascii="Calibri" w:cs="Calibri" w:eastAsia="Calibri" w:hAnsi="Calibri"/>
          <w:b/>
          <w:bCs/>
          <w:i w:val="false"/>
          <w:iCs w:val="false"/>
          <w:color w:val="000000"/>
          <w:sz w:val="25"/>
          <w:szCs w:val="25"/>
        </w:rPr>
        <w:t xml:space="preserve">8.1 Data Sources and Risk Signals</w:t>
      </w:r>
    </w:p>
    <w:p>
      <w:pPr>
        <w:spacing w:after="140" w:before="0" w:line="276"/>
      </w:pPr>
      <w:r>
        <w:rPr>
          <w:rFonts w:ascii="Calibri" w:cs="Calibri" w:eastAsia="Calibri" w:hAnsi="Calibri"/>
          <w:b w:val="false"/>
          <w:bCs w:val="false"/>
          <w:i w:val="false"/>
          <w:iCs w:val="false"/>
          <w:color w:val="000000"/>
          <w:sz w:val="21"/>
          <w:szCs w:val="21"/>
        </w:rPr>
        <w:t xml:space="preserve">AML Hook's oracle does not depend on a single source. The optimal architecture is a weighted-signal aggregator, where each source contributes to the final score with a different weight according to its reliability.</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5304"/>
        <w:gridCol w:w="1872"/>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Source</w:t>
            </w:r>
          </w:p>
        </w:tc>
        <w:tc>
          <w:tcPr>
            <w:tcW w:type="dxa" w:w="530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Description</w:t>
            </w:r>
          </w:p>
        </w:tc>
        <w:tc>
          <w:tcPr>
            <w:tcW w:type="dxa" w:w="187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Type</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OFAC SDN List</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U.S. Treasury list. Since 2018 it explicitly includes crypto addresses. Tornado Cash was sanctioned in August 2022, the first smart contract sanctioned and not just a person. Public, updated in real time, indexed on-chain by multiple projects.</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Official</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Chainalysis Oracle</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Institutional standard. On-chain mapping of sanctioned addresses queryable directly in beforeSwap. Fast. Its limitation is the binary output, sanctioned or not.</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Commercial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TRM Labs / Elliptic</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Coverage comparable to Chainalysis. TRM is strong in Latin America and with governments, Elliptic dominant in Europe. Integration mainly off-chain.</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Commercial</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Forta Network</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Distributed detection bot network. Real-time alerts on exploits, rug pulls and anomalous behavior, sometimes with minutes of anticipation. Public alerts queryable via API.</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Decentralized</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Ethereum Attestation Service</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Protocol for on-chain attestations about any entity. Organizations publish wallet risk attestations. Basis for a decentralized reputation system.</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Decentralized</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Hypernative</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Real-time on-chain alerts. Detects exploits and anomalous behavior in advance. Signal source for the AML Hook oracle.</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Commercial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DeFiLlama Hacks DB</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Public registry of all known DeFi hacks with the wallets involved. Well maintained and open source.</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Community</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FinCEN / FATF advisories</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Define the typologies that compliance systems must detect. They are not address lists but behavioral patterns. They design the behavioral scoring.</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Regulatory</w:t>
            </w:r>
          </w:p>
        </w:tc>
      </w:tr>
    </w:tbl>
    <w:p>
      <w:pPr>
        <w:spacing w:after="140" w:before="0" w:line="276"/>
      </w:pPr>
      <w:r>
        <w:rPr>
          <w:rFonts w:ascii="Calibri" w:cs="Calibri" w:eastAsia="Calibri" w:hAnsi="Calibri"/>
          <w:b w:val="false"/>
          <w:bCs w:val="false"/>
          <w:i w:val="false"/>
          <w:iCs w:val="false"/>
          <w:color w:val="000000"/>
          <w:sz w:val="21"/>
          <w:szCs w:val="21"/>
        </w:rPr>
        <w:t xml:space="preserve">What differentiates AML Hook is not having access to these sources, which Civic Hook and PureFi also use. The difference is that it combines them with its own behavioral scoring and produces a graduated output instead of a binary one.</w:t>
      </w:r>
    </w:p>
    <w:p>
      <w:pPr>
        <w:spacing w:after="120" w:before="220"/>
      </w:pPr>
      <w:r>
        <w:rPr>
          <w:rFonts w:ascii="Calibri" w:cs="Calibri" w:eastAsia="Calibri" w:hAnsi="Calibri"/>
          <w:b/>
          <w:bCs/>
          <w:i w:val="false"/>
          <w:iCs w:val="false"/>
          <w:color w:val="000000"/>
          <w:sz w:val="25"/>
          <w:szCs w:val="25"/>
        </w:rPr>
        <w:t xml:space="preserve">8.2 On-chain Screening Oracles (Layer 1)</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Provider</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Description</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Chainalysis</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 facto standard for large regulated exchanges. Maintains an updated on-chain mapping of sanctioned addresses. KYT (Know Your Transaction) and Reactor for investigation. Leading institutional coverage.</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TRM Labs</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Risk API with comparable coverage. Rapid expansion in on-chain integrations. More granular risk coverage for exchanges and mixers.</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Elliptic</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Strong in Europe, also used by banks with crypto exposure. On-chain infrastructure less mature than Chainalysis.</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Solidus Labs</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Specifically oriented to DeFi and exchanges. Market manipulation detection in addition to AML.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0xAML and similar</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Open-access on-chain registries of sanctioned addresses. Alternative layer with no dependence on a centralized provider.</w:t>
            </w:r>
          </w:p>
        </w:tc>
      </w:tr>
    </w:tbl>
    <w:p>
      <w:pPr>
        <w:spacing w:after="120" w:before="220"/>
      </w:pPr>
      <w:r>
        <w:rPr>
          <w:rFonts w:ascii="Calibri" w:cs="Calibri" w:eastAsia="Calibri" w:hAnsi="Calibri"/>
          <w:b/>
          <w:bCs/>
          <w:i w:val="false"/>
          <w:iCs w:val="false"/>
          <w:color w:val="000000"/>
          <w:sz w:val="25"/>
          <w:szCs w:val="25"/>
        </w:rPr>
        <w:t xml:space="preserve">8.3 On-chain KYC Solutions (Identity with ZK)</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Provider</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Description</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Polygon ID</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Identity with zero-knowledge proof (ZKP): allows demonstrating that a wallet complies with KYC without exposing the underlying personal data. The approach most aligned with regulatorily defensible privacy.</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Civic</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KYC with on-chain credential. Verification of identity documents, location and humanity. Issues a non-transferable NFT, the Civic Pass.</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Worldcoin</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Biometric proof of humanity. Use case oriented to Sybil resistance rather than regulatory KYC.</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Notebook Labs / Holonym</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ZK identity: the user proves attributes, such as not being a citizen of a sanctioned country or not being on the OFAC list, without revealing their identity.</w:t>
            </w:r>
          </w:p>
        </w:tc>
      </w:tr>
    </w:tbl>
    <w:p>
      <w:pPr>
        <w:spacing w:after="120" w:before="220"/>
      </w:pPr>
      <w:r>
        <w:rPr>
          <w:rFonts w:ascii="Calibri" w:cs="Calibri" w:eastAsia="Calibri" w:hAnsi="Calibri"/>
          <w:b/>
          <w:bCs/>
          <w:i w:val="false"/>
          <w:iCs w:val="false"/>
          <w:color w:val="000000"/>
          <w:sz w:val="25"/>
          <w:szCs w:val="25"/>
        </w:rPr>
        <w:t xml:space="preserve">8.4 Off-chain Oracle Infrastructure</w:t>
      </w:r>
    </w:p>
    <w:p>
      <w:pPr>
        <w:spacing w:after="140" w:before="0" w:line="276"/>
      </w:pPr>
      <w:r>
        <w:rPr>
          <w:rFonts w:ascii="Calibri" w:cs="Calibri" w:eastAsia="Calibri" w:hAnsi="Calibri"/>
          <w:b w:val="false"/>
          <w:bCs w:val="false"/>
          <w:i w:val="false"/>
          <w:iCs w:val="false"/>
          <w:color w:val="000000"/>
          <w:sz w:val="21"/>
          <w:szCs w:val="21"/>
        </w:rPr>
        <w:t xml:space="preserve">For the behavioral scoring oracle there are two paths. Chainlink Functions and CCIP is the production option, with a node that executes the scoring function off-chain and writes the result on-chain with a verifiable cryptographic signature. The proprietary signed system, recommended for the UHI10 prototype, calculates the score on a server, signs it with a known private key and the hook verifies that signature on-chain.</w:t>
      </w:r>
    </w:p>
    <w:p>
      <w:pPr>
        <w:spacing w:after="120" w:before="220"/>
      </w:pPr>
      <w:r>
        <w:rPr>
          <w:rFonts w:ascii="Calibri" w:cs="Calibri" w:eastAsia="Calibri" w:hAnsi="Calibri"/>
          <w:b/>
          <w:bCs/>
          <w:i w:val="false"/>
          <w:iCs w:val="false"/>
          <w:color w:val="000000"/>
          <w:sz w:val="25"/>
          <w:szCs w:val="25"/>
        </w:rPr>
        <w:t xml:space="preserve">8.5 Community Reporting Network</w:t>
      </w:r>
    </w:p>
    <w:p>
      <w:pPr>
        <w:spacing w:after="140" w:before="0" w:line="276"/>
      </w:pPr>
      <w:r>
        <w:rPr>
          <w:rFonts w:ascii="Calibri" w:cs="Calibri" w:eastAsia="Calibri" w:hAnsi="Calibri"/>
          <w:b w:val="false"/>
          <w:bCs w:val="false"/>
          <w:i w:val="false"/>
          <w:iCs w:val="false"/>
          <w:color w:val="000000"/>
          <w:sz w:val="21"/>
          <w:szCs w:val="21"/>
        </w:rPr>
        <w:t xml:space="preserve">No competitor is building this yet: a native Uniswap v4 reporting network. A pool's own LPs can report suspicious on-chain behavior. Those reports, when they accumulate from multiple independent sources about the same wallet, automatically raise its score.</w:t>
      </w:r>
    </w:p>
    <w:p>
      <w:pPr>
        <w:spacing w:after="140" w:before="0" w:line="276"/>
      </w:pPr>
      <w:r>
        <w:rPr>
          <w:rFonts w:ascii="Calibri" w:cs="Calibri" w:eastAsia="Calibri" w:hAnsi="Calibri"/>
          <w:b w:val="false"/>
          <w:bCs w:val="false"/>
          <w:i w:val="false"/>
          <w:iCs w:val="false"/>
          <w:color w:val="000000"/>
          <w:sz w:val="21"/>
          <w:szCs w:val="21"/>
        </w:rPr>
        <w:t xml:space="preserve">The design resolves three decisions to prevent the mechanism from being manipulated. As to who can report, only the pool's LPs with a minimum stake deposited, who have skin in the game because if the pool suffers a rug pull they lose, and the stake creates an economic cost for malicious reports. As to how it is validated, a single report does not change the score, a threshold of independent reports within a time window is required plus a challenge period during which the reported wallet can dispute, and old reports weigh less through temporal decay. And as to its effect, the report raises the score enough to move the wallet into the differential-fee tier, not to a direct block, which only occurs with multiple validated reports plus the signals of the behavioral oracle.</w:t>
      </w:r>
    </w:p>
    <w:p>
      <w:pPr>
        <w:spacing w:after="140" w:before="0" w:line="276"/>
      </w:pPr>
      <w:r>
        <w:rPr>
          <w:rFonts w:ascii="Calibri" w:cs="Calibri" w:eastAsia="Calibri" w:hAnsi="Calibri"/>
          <w:b w:val="false"/>
          <w:bCs w:val="false"/>
          <w:i w:val="false"/>
          <w:iCs w:val="false"/>
          <w:color w:val="000000"/>
          <w:sz w:val="21"/>
          <w:szCs w:val="21"/>
        </w:rPr>
        <w:t xml:space="preserve">The network effect this builds is AML Hook's real defensive moat. Every pool that adopts the hook contributes reports to a registry shared among all the pools. A wallet reported in the ETH/USDC pool also has an elevated score in the WBTC/USDC pool. Over time, the registry accumulates an intelligence that no competitor can replicate quickly, because it requires real adoption of the protocol. The more pools, the better the detection. The more LPs, the more signals. It is a flywheel.</w:t>
      </w:r>
    </w:p>
    <w:p>
      <w:pPr>
        <w:spacing w:after="140" w:before="280"/>
      </w:pPr>
      <w:r>
        <w:rPr>
          <w:rFonts w:ascii="Calibri" w:cs="Calibri" w:eastAsia="Calibri" w:hAnsi="Calibri"/>
          <w:b/>
          <w:bCs/>
          <w:i w:val="false"/>
          <w:iCs w:val="false"/>
          <w:color w:val="000000"/>
          <w:sz w:val="30"/>
          <w:szCs w:val="30"/>
        </w:rPr>
        <w:t xml:space="preserve">9. Next Steps and Pending Decisions</w:t>
      </w:r>
    </w:p>
    <w:p>
      <w:pPr>
        <w:spacing w:after="120" w:before="220"/>
      </w:pPr>
      <w:r>
        <w:rPr>
          <w:rFonts w:ascii="Calibri" w:cs="Calibri" w:eastAsia="Calibri" w:hAnsi="Calibri"/>
          <w:b/>
          <w:bCs/>
          <w:i w:val="false"/>
          <w:iCs w:val="false"/>
          <w:color w:val="000000"/>
          <w:sz w:val="25"/>
          <w:szCs w:val="25"/>
        </w:rPr>
        <w:t xml:space="preserve">9.1 Core Design Decision</w:t>
      </w:r>
    </w:p>
    <w:p>
      <w:pPr>
        <w:spacing w:after="140" w:before="0" w:line="276"/>
      </w:pPr>
      <w:r>
        <w:rPr>
          <w:rFonts w:ascii="Calibri" w:cs="Calibri" w:eastAsia="Calibri" w:hAnsi="Calibri"/>
          <w:b w:val="false"/>
          <w:bCs w:val="false"/>
          <w:i w:val="false"/>
          <w:iCs w:val="false"/>
          <w:color w:val="000000"/>
          <w:sz w:val="21"/>
          <w:szCs w:val="21"/>
        </w:rPr>
        <w:t xml:space="preserve">The compliance model has a central architectural decision: whether the hook is permissive or restrictive by default.</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716"/>
        <w:gridCol w:w="3744"/>
        <w:gridCol w:w="3900"/>
      </w:tblGrid>
      <w:tr>
        <w:trPr>
          <w:tblHeader/>
        </w:trPr>
        <w:tc>
          <w:tcPr>
            <w:tcW w:type="dxa" w:w="171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Mode</w:t>
            </w:r>
          </w:p>
        </w:tc>
        <w:tc>
          <w:tcPr>
            <w:tcW w:type="dxa" w:w="374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Description</w:t>
            </w:r>
          </w:p>
        </w:tc>
        <w:tc>
          <w:tcPr>
            <w:tcW w:type="dxa" w:w="390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Strategic implication</w:t>
            </w:r>
          </w:p>
        </w:tc>
      </w:tr>
      <w:tr>
        <w:tc>
          <w:tcPr>
            <w:tcW w:type="dxa" w:w="171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Permissive</w:t>
            </w:r>
          </w:p>
        </w:tc>
        <w:tc>
          <w:tcPr>
            <w:tcW w:type="dxa" w:w="374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Allows the swap and only blocks wallets explicitly on a blacklist, such as OFAC</w:t>
            </w:r>
          </w:p>
        </w:tc>
        <w:tc>
          <w:tcPr>
            <w:tcW w:type="dxa" w:w="390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More compatible with permissionless DeFi. Weaker before regulators that require affirmative action.</w:t>
            </w:r>
          </w:p>
        </w:tc>
      </w:tr>
      <w:tr>
        <w:tc>
          <w:tcPr>
            <w:tcW w:type="dxa" w:w="171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Restrictive</w:t>
            </w:r>
          </w:p>
        </w:tc>
        <w:tc>
          <w:tcPr>
            <w:tcW w:type="dxa" w:w="374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Blocks every swap and only allows wallets explicitly authorized by whitelist</w:t>
            </w:r>
          </w:p>
        </w:tc>
        <w:tc>
          <w:tcPr>
            <w:tcW w:type="dxa" w:w="390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More robust regulatorily. Limits liquidity and access. Requires prior onboarding of each LP.</w:t>
            </w:r>
          </w:p>
        </w:tc>
      </w:tr>
    </w:tbl>
    <w:p>
      <w:pPr>
        <w:spacing w:after="140" w:before="0" w:line="276"/>
      </w:pPr>
      <w:r>
        <w:rPr>
          <w:rFonts w:ascii="Calibri" w:cs="Calibri" w:eastAsia="Calibri" w:hAnsi="Calibri"/>
          <w:b w:val="false"/>
          <w:bCs w:val="false"/>
          <w:i w:val="false"/>
          <w:iCs w:val="false"/>
          <w:color w:val="000000"/>
          <w:sz w:val="21"/>
          <w:szCs w:val="21"/>
        </w:rPr>
        <w:t xml:space="preserve">This decision defines the product's positioning and its primary market. The recommendation for the identified mid-market is permissive mode with an active differential fee, more compatible with the DeFi experience and regulatorily defensible under FATF's risk-based approach.</w:t>
      </w:r>
    </w:p>
    <w:p>
      <w:pPr>
        <w:spacing w:after="120" w:before="220"/>
      </w:pPr>
      <w:r>
        <w:rPr>
          <w:rFonts w:ascii="Calibri" w:cs="Calibri" w:eastAsia="Calibri" w:hAnsi="Calibri"/>
          <w:b/>
          <w:bCs/>
          <w:i w:val="false"/>
          <w:iCs w:val="false"/>
          <w:color w:val="000000"/>
          <w:sz w:val="25"/>
          <w:szCs w:val="25"/>
        </w:rPr>
        <w:t xml:space="preserve">9.2 Auditable Operational Decisions</w:t>
      </w:r>
    </w:p>
    <w:p>
      <w:pPr>
        <w:spacing w:after="140" w:before="0" w:line="276"/>
      </w:pPr>
      <w:r>
        <w:rPr>
          <w:rFonts w:ascii="Calibri" w:cs="Calibri" w:eastAsia="Calibri" w:hAnsi="Calibri"/>
          <w:b w:val="false"/>
          <w:bCs w:val="false"/>
          <w:i w:val="false"/>
          <w:iCs w:val="false"/>
          <w:color w:val="000000"/>
          <w:sz w:val="21"/>
          <w:szCs w:val="21"/>
        </w:rPr>
        <w:t xml:space="preserve">The following decisions must be documented as internal policy, since they are auditable by supervisors and potential institutional partners.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3432"/>
        <w:gridCol w:w="5928"/>
      </w:tblGrid>
      <w:tr>
        <w:trPr>
          <w:tblHeader/>
        </w:trPr>
        <w:tc>
          <w:tcPr>
            <w:tcW w:type="dxa" w:w="343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Decision</w:t>
            </w:r>
          </w:p>
        </w:tc>
        <w:tc>
          <w:tcPr>
            <w:tcW w:type="dxa" w:w="592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Description</w:t>
            </w:r>
          </w:p>
        </w:tc>
      </w:tr>
      <w:tr>
        <w:tc>
          <w:tcPr>
            <w:tcW w:type="dxa" w:w="34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Definition of the obligated subject</w:t>
            </w:r>
          </w:p>
        </w:tc>
        <w:tc>
          <w:tcPr>
            <w:tcW w:type="dxa" w:w="592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Who in the structure is the responsible VASP?</w:t>
            </w:r>
          </w:p>
        </w:tc>
      </w:tr>
      <w:tr>
        <w:tc>
          <w:tcPr>
            <w:tcW w:type="dxa" w:w="34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Reference jurisdiction</w:t>
            </w:r>
          </w:p>
        </w:tc>
        <w:tc>
          <w:tcPr>
            <w:tcW w:type="dxa" w:w="592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Which national law governs the obligations?</w:t>
            </w:r>
          </w:p>
        </w:tc>
      </w:tr>
      <w:tr>
        <w:tc>
          <w:tcPr>
            <w:tcW w:type="dxa" w:w="34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N-hop threshold for graph analysis</w:t>
            </w:r>
          </w:p>
        </w:tc>
        <w:tc>
          <w:tcPr>
            <w:tcW w:type="dxa" w:w="592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Justified on the basis of the risk-based approach (RBA)</w:t>
            </w:r>
          </w:p>
        </w:tc>
      </w:tr>
      <w:tr>
        <w:tc>
          <w:tcPr>
            <w:tcW w:type="dxa" w:w="34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Risk matrix (HIGH/MEDIUM/LOW)</w:t>
            </w:r>
          </w:p>
        </w:tc>
        <w:tc>
          <w:tcPr>
            <w:tcW w:type="dxa" w:w="592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Which risk score triggers each action?</w:t>
            </w:r>
          </w:p>
        </w:tc>
      </w:tr>
      <w:tr>
        <w:tc>
          <w:tcPr>
            <w:tcW w:type="dxa" w:w="34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Unhosted wallet policy</w:t>
            </w:r>
          </w:p>
        </w:tc>
        <w:tc>
          <w:tcPr>
            <w:tcW w:type="dxa" w:w="592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What is required before allowing withdrawals?</w:t>
            </w:r>
          </w:p>
        </w:tc>
      </w:tr>
      <w:tr>
        <w:tc>
          <w:tcPr>
            <w:tcW w:type="dxa" w:w="34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STR policy</w:t>
            </w:r>
          </w:p>
        </w:tc>
        <w:tc>
          <w:tcPr>
            <w:tcW w:type="dxa" w:w="592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Threshold and process for reporting suspicious transactions</w:t>
            </w:r>
          </w:p>
        </w:tc>
      </w:tr>
    </w:tbl>
    <w:p>
      <w:pPr>
        <w:spacing w:after="120" w:before="220"/>
      </w:pPr>
      <w:r>
        <w:rPr>
          <w:rFonts w:ascii="Calibri" w:cs="Calibri" w:eastAsia="Calibri" w:hAnsi="Calibri"/>
          <w:b/>
          <w:bCs/>
          <w:i w:val="false"/>
          <w:iCs w:val="false"/>
          <w:color w:val="000000"/>
          <w:sz w:val="25"/>
          <w:szCs w:val="25"/>
        </w:rPr>
        <w:t xml:space="preserve">9.3 Roadmap</w:t>
      </w:r>
    </w:p>
    <w:p>
      <w:pPr>
        <w:spacing w:after="140" w:before="0" w:line="276"/>
      </w:pPr>
      <w:r>
        <w:rPr>
          <w:rFonts w:ascii="Calibri" w:cs="Calibri" w:eastAsia="Calibri" w:hAnsi="Calibri"/>
          <w:b/>
          <w:bCs/>
          <w:i w:val="false"/>
          <w:iCs w:val="false"/>
          <w:color w:val="000000"/>
          <w:sz w:val="21"/>
          <w:szCs w:val="21"/>
        </w:rPr>
        <w:t xml:space="preserve">Weeks 1-2 (UHI10). </w:t>
      </w:r>
      <w:r>
        <w:rPr>
          <w:rFonts w:ascii="Calibri" w:cs="Calibri" w:eastAsia="Calibri" w:hAnsi="Calibri"/>
          <w:b w:val="false"/>
          <w:bCs w:val="false"/>
          <w:i w:val="false"/>
          <w:iCs w:val="false"/>
          <w:color w:val="000000"/>
          <w:sz w:val="21"/>
          <w:szCs w:val="21"/>
        </w:rPr>
        <w:t xml:space="preserve">Technical definition of the hook. Implementation of beforeSwap with Layer 1 static screening.</w:t>
      </w:r>
    </w:p>
    <w:p>
      <w:pPr>
        <w:spacing w:after="140" w:before="0" w:line="276"/>
      </w:pPr>
      <w:r>
        <w:rPr>
          <w:rFonts w:ascii="Calibri" w:cs="Calibri" w:eastAsia="Calibri" w:hAnsi="Calibri"/>
          <w:b/>
          <w:bCs/>
          <w:i w:val="false"/>
          <w:iCs w:val="false"/>
          <w:color w:val="000000"/>
          <w:sz w:val="21"/>
          <w:szCs w:val="21"/>
        </w:rPr>
        <w:t xml:space="preserve">Weeks 3-4 (UHI10). </w:t>
      </w:r>
      <w:r>
        <w:rPr>
          <w:rFonts w:ascii="Calibri" w:cs="Calibri" w:eastAsia="Calibri" w:hAnsi="Calibri"/>
          <w:b w:val="false"/>
          <w:bCs w:val="false"/>
          <w:i w:val="false"/>
          <w:iCs w:val="false"/>
          <w:color w:val="000000"/>
          <w:sz w:val="21"/>
          <w:szCs w:val="21"/>
        </w:rPr>
        <w:t xml:space="preserve">Implementation of the off-chain mock oracle for behavioral scoring. Integration of Layer 2.</w:t>
      </w:r>
    </w:p>
    <w:p>
      <w:pPr>
        <w:spacing w:after="140" w:before="0" w:line="276"/>
      </w:pPr>
      <w:r>
        <w:rPr>
          <w:rFonts w:ascii="Calibri" w:cs="Calibri" w:eastAsia="Calibri" w:hAnsi="Calibri"/>
          <w:b/>
          <w:bCs/>
          <w:i w:val="false"/>
          <w:iCs w:val="false"/>
          <w:color w:val="000000"/>
          <w:sz w:val="21"/>
          <w:szCs w:val="21"/>
        </w:rPr>
        <w:t xml:space="preserve">Weeks 5-6 (UHI10). </w:t>
      </w:r>
      <w:r>
        <w:rPr>
          <w:rFonts w:ascii="Calibri" w:cs="Calibri" w:eastAsia="Calibri" w:hAnsi="Calibri"/>
          <w:b w:val="false"/>
          <w:bCs w:val="false"/>
          <w:i w:val="false"/>
          <w:iCs w:val="false"/>
          <w:color w:val="000000"/>
          <w:sz w:val="21"/>
          <w:szCs w:val="21"/>
        </w:rPr>
        <w:t xml:space="preserve">Differential fee logic. Complete Layer 3 decision. Event module for reporting.</w:t>
      </w:r>
    </w:p>
    <w:p>
      <w:pPr>
        <w:spacing w:after="140" w:before="0" w:line="276"/>
      </w:pPr>
      <w:r>
        <w:rPr>
          <w:rFonts w:ascii="Calibri" w:cs="Calibri" w:eastAsia="Calibri" w:hAnsi="Calibri"/>
          <w:b/>
          <w:bCs/>
          <w:i w:val="false"/>
          <w:iCs w:val="false"/>
          <w:color w:val="000000"/>
          <w:sz w:val="21"/>
          <w:szCs w:val="21"/>
        </w:rPr>
        <w:t xml:space="preserve">Weeks 7-8 (UHI10). </w:t>
      </w:r>
      <w:r>
        <w:rPr>
          <w:rFonts w:ascii="Calibri" w:cs="Calibri" w:eastAsia="Calibri" w:hAnsi="Calibri"/>
          <w:b w:val="false"/>
          <w:bCs w:val="false"/>
          <w:i w:val="false"/>
          <w:iCs w:val="false"/>
          <w:color w:val="000000"/>
          <w:sz w:val="21"/>
          <w:szCs w:val="21"/>
        </w:rPr>
        <w:t xml:space="preserve">Testnet deployment. Functional demo. Preparation of the pitch for the embedded hackathon.</w:t>
      </w:r>
    </w:p>
    <w:p>
      <w:pPr>
        <w:spacing w:after="140" w:before="0" w:line="276"/>
      </w:pPr>
      <w:r>
        <w:rPr>
          <w:rFonts w:ascii="Calibri" w:cs="Calibri" w:eastAsia="Calibri" w:hAnsi="Calibri"/>
          <w:b/>
          <w:bCs/>
          <w:i w:val="false"/>
          <w:iCs w:val="false"/>
          <w:color w:val="000000"/>
          <w:sz w:val="21"/>
          <w:szCs w:val="21"/>
        </w:rPr>
        <w:t xml:space="preserve">Post-UHI10. </w:t>
      </w:r>
      <w:r>
        <w:rPr>
          <w:rFonts w:ascii="Calibri" w:cs="Calibri" w:eastAsia="Calibri" w:hAnsi="Calibri"/>
          <w:b w:val="false"/>
          <w:bCs w:val="false"/>
          <w:i w:val="false"/>
          <w:iCs w:val="false"/>
          <w:color w:val="000000"/>
          <w:sz w:val="21"/>
          <w:szCs w:val="21"/>
        </w:rPr>
        <w:t xml:space="preserve">Search for a technical co-founder with Solidity experience. Security audit. First conversations with mid-market protocols such as Centrifuge, Goldfinch and Clearpool.</w:t>
      </w:r>
    </w:p>
    <w:p>
      <w:pPr>
        <w:spacing w:after="120" w:before="220"/>
      </w:pPr>
      <w:r>
        <w:rPr>
          <w:rFonts w:ascii="Calibri" w:cs="Calibri" w:eastAsia="Calibri" w:hAnsi="Calibri"/>
          <w:b/>
          <w:bCs/>
          <w:i w:val="false"/>
          <w:iCs w:val="false"/>
          <w:color w:val="000000"/>
          <w:sz w:val="25"/>
          <w:szCs w:val="25"/>
        </w:rPr>
        <w:t xml:space="preserve">9.4 Later Architectural Evolution: Verifiability of Off-chain Computation</w:t>
      </w:r>
    </w:p>
    <w:p>
      <w:pPr>
        <w:spacing w:after="140" w:before="0" w:line="276"/>
      </w:pPr>
      <w:r>
        <w:rPr>
          <w:rFonts w:ascii="Calibri" w:cs="Calibri" w:eastAsia="Calibri" w:hAnsi="Calibri"/>
          <w:b w:val="false"/>
          <w:bCs w:val="false"/>
          <w:i w:val="false"/>
          <w:iCs w:val="false"/>
          <w:color w:val="000000"/>
          <w:sz w:val="21"/>
          <w:szCs w:val="21"/>
        </w:rPr>
        <w:t xml:space="preserve">This section documents a development track that has been identified and deliberately excluded from the scope of UHI10. It is included because it defines the product's technical trajectory and because it anticipates the question a technical evaluator will ask.</w:t>
      </w:r>
    </w:p>
    <w:p>
      <w:pPr>
        <w:spacing w:after="140" w:before="0" w:line="276"/>
      </w:pPr>
      <w:r>
        <w:rPr>
          <w:rFonts w:ascii="Calibri" w:cs="Calibri" w:eastAsia="Calibri" w:hAnsi="Calibri"/>
          <w:b w:val="false"/>
          <w:bCs w:val="false"/>
          <w:i w:val="false"/>
          <w:iCs w:val="false"/>
          <w:color w:val="000000"/>
          <w:sz w:val="21"/>
          <w:szCs w:val="21"/>
        </w:rPr>
        <w:t xml:space="preserve">A contract on the EVM (Ethereum Virtual Machine) can only read the current state of the blockchain, not its history. It cannot traverse past transactions, query a wallet's activity on other protocols or build a graph of counterparties. The graph analysis that feeds Layer 2 is necessarily off-chain, and that limitation admits no solution through contract design. It is common to all the solutions in the market.</w:t>
      </w:r>
    </w:p>
    <w:p>
      <w:pPr>
        <w:spacing w:after="140" w:before="0" w:line="276"/>
      </w:pPr>
      <w:r>
        <w:rPr>
          <w:rFonts w:ascii="Calibri" w:cs="Calibri" w:eastAsia="Calibri" w:hAnsi="Calibri"/>
          <w:b w:val="false"/>
          <w:bCs w:val="false"/>
          <w:i w:val="false"/>
          <w:iCs w:val="false"/>
          <w:color w:val="000000"/>
          <w:sz w:val="21"/>
          <w:szCs w:val="21"/>
        </w:rPr>
        <w:t xml:space="preserve">The relevant question is not where it is computed, but whom one must trust. AML Hook already resolves part of this, because the detection of frequency and accumulation patterns within the pool, structuring, turnover velocity and counterparty concentration, is calculated entirely in the contract through the counters described in section 3.9, with no oracle involvement. What remains is the verifiability of the computation that is external.</w:t>
      </w:r>
    </w:p>
    <w:p>
      <w:pPr>
        <w:spacing w:after="140" w:before="0" w:line="276"/>
      </w:pPr>
      <w:r>
        <w:rPr>
          <w:rFonts w:ascii="Calibri" w:cs="Calibri" w:eastAsia="Calibri" w:hAnsi="Calibri"/>
          <w:b w:val="false"/>
          <w:bCs w:val="false"/>
          <w:i w:val="false"/>
          <w:iCs w:val="false"/>
          <w:color w:val="000000"/>
          <w:sz w:val="21"/>
          <w:szCs w:val="21"/>
        </w:rPr>
        <w:t xml:space="preserve">The cryptographic path is the zero-knowledge proof. The off-chain engine calculates the score and generates a Zero-Knowledge Proof that attests that the calculation was executed correctly on given data, and the contract verifies that proof on-chain. The computation remains external but no longer requires trust, because the oracle operator cannot alter the result without the verification failing. It is worth clarifying the difference from PureFi, which also uses ZK: PureFi uses it to attest that the user holds a valid credential without revealing their identity, which is privacy and does not prove that the risk calculation is correct. The application proposed here is verifiability of the computation, a different problem not solved by any actor in the space. The reason for the exclusion is one of effort, not architecture, since designing a ZK circuit for graph analysis is an autonomous project outside the scope of eight weeks.</w:t>
      </w:r>
    </w:p>
    <w:p>
      <w:pPr>
        <w:spacing w:after="140" w:before="0" w:line="276"/>
      </w:pPr>
      <w:r>
        <w:rPr>
          <w:rFonts w:ascii="Calibri" w:cs="Calibri" w:eastAsia="Calibri" w:hAnsi="Calibri"/>
          <w:b w:val="false"/>
          <w:bCs w:val="false"/>
          <w:i w:val="false"/>
          <w:iCs w:val="false"/>
          <w:color w:val="000000"/>
          <w:sz w:val="21"/>
          <w:szCs w:val="21"/>
        </w:rPr>
        <w:t xml:space="preserve">Two intermediate alternatives have been identified. An optimistic model with a dispute period, where the oracle publishes the score with a deposited stake and any participant can challenge it within a window by presenting evidence, losing the stake if the challenge succeeds, so that trust is not eliminated but becomes economically costly to betray. And a multi-source aggregation, where the contract queries N independent oracles and computes the median on-chain, which reduces the single point of failure although it does not resolve the verifiability of each source.</w:t>
      </w:r>
    </w:p>
    <w:p>
      <w:pPr>
        <w:spacing w:after="140" w:before="0" w:line="276"/>
      </w:pPr>
      <w:r>
        <w:rPr>
          <w:rFonts w:ascii="Calibri" w:cs="Calibri" w:eastAsia="Calibri" w:hAnsi="Calibri"/>
          <w:b w:val="false"/>
          <w:bCs w:val="false"/>
          <w:i w:val="false"/>
          <w:iCs w:val="false"/>
          <w:color w:val="000000"/>
          <w:sz w:val="21"/>
          <w:szCs w:val="21"/>
        </w:rPr>
        <w:t xml:space="preserve">The IComplianceOracle interface is defined so that replacing the signature verification mechanism with cryptographic proof verification does not require modifying the hook contract. The change occurs in the oracle implementation, not in the decision logic. That separation is a deliberate design decision, and it is what allows the implementation to be postponed without compromising the trajectory.</w:t>
      </w:r>
    </w:p>
    <w:p>
      <w:pPr>
        <w:spacing w:after="120" w:before="220"/>
      </w:pPr>
      <w:r>
        <w:rPr>
          <w:rFonts w:ascii="Calibri" w:cs="Calibri" w:eastAsia="Calibri" w:hAnsi="Calibri"/>
          <w:b/>
          <w:bCs/>
          <w:i w:val="false"/>
          <w:iCs w:val="false"/>
          <w:color w:val="000000"/>
          <w:sz w:val="25"/>
          <w:szCs w:val="25"/>
        </w:rPr>
        <w:t xml:space="preserve">9.5 Compliance Officer Agent (COA)</w:t>
      </w:r>
    </w:p>
    <w:p>
      <w:pPr>
        <w:spacing w:after="140" w:before="0" w:line="276"/>
      </w:pPr>
      <w:r>
        <w:rPr>
          <w:rFonts w:ascii="Calibri" w:cs="Calibri" w:eastAsia="Calibri" w:hAnsi="Calibri"/>
          <w:b w:val="false"/>
          <w:bCs w:val="false"/>
          <w:i w:val="false"/>
          <w:iCs w:val="false"/>
          <w:color w:val="000000"/>
          <w:sz w:val="21"/>
          <w:szCs w:val="21"/>
        </w:rPr>
        <w:t xml:space="preserve">A second development track identified and excluded from the scope of UHI10. It covers the interpretive analysis and regulatory documentation layer that the hook's logic does not produce.</w:t>
      </w:r>
    </w:p>
    <w:p>
      <w:pPr>
        <w:spacing w:after="140" w:before="0" w:line="276"/>
      </w:pPr>
      <w:r>
        <w:rPr>
          <w:rFonts w:ascii="Calibri" w:cs="Calibri" w:eastAsia="Calibri" w:hAnsi="Calibri"/>
          <w:b w:val="false"/>
          <w:bCs w:val="false"/>
          <w:i w:val="false"/>
          <w:iCs w:val="false"/>
          <w:color w:val="000000"/>
          <w:sz w:val="21"/>
          <w:szCs w:val="21"/>
        </w:rPr>
        <w:t xml:space="preserve">The score is a number, and a number does not explain why an address is risky, does not identify which behavioral pattern triggered the alert, and does not produce documentation that the pool operator can present to a regulator. That gap is regulatorily relevant. When a supervisor audits an operator, it does not only ask how many transactions it blocked, it asks why it blocked them and requires evidence of due diligence, which takes the form of a suspicious transaction report with documented reasoning. A system that blocks without documenting satisfies the technical control but not the reporting obligation, and the operator remains exposed even though its system worked correctly. None of the existing market solutions produce documentation.</w:t>
      </w:r>
    </w:p>
    <w:p>
      <w:pPr>
        <w:spacing w:after="140" w:before="0" w:line="276"/>
      </w:pPr>
      <w:r>
        <w:rPr>
          <w:rFonts w:ascii="Calibri" w:cs="Calibri" w:eastAsia="Calibri" w:hAnsi="Calibri"/>
          <w:b w:val="false"/>
          <w:bCs w:val="false"/>
          <w:i w:val="false"/>
          <w:iCs w:val="false"/>
          <w:color w:val="000000"/>
          <w:sz w:val="21"/>
          <w:szCs w:val="21"/>
        </w:rPr>
        <w:t xml:space="preserve">The COA replicates the process of a human compliance officer over each relevant transaction that passes through AML Hook. It observes the operation, gathers context on the address and the source of the funds, applies AML/CFT typologies documented by FATF and FinCEN, formulates the legitimate hypothesis that could explain the behavior and evaluates whether the evidence refutes it, concludes with a confidence level, and documents all the reasoning.</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872"/>
        <w:gridCol w:w="4368"/>
        <w:gridCol w:w="3120"/>
      </w:tblGrid>
      <w:tr>
        <w:trPr>
          <w:tblHeader/>
        </w:trPr>
        <w:tc>
          <w:tcPr>
            <w:tcW w:type="dxa" w:w="187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Category</w:t>
            </w:r>
          </w:p>
        </w:tc>
        <w:tc>
          <w:tcPr>
            <w:tcW w:type="dxa" w:w="436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Criterion</w:t>
            </w:r>
          </w:p>
        </w:tc>
        <w:tc>
          <w:tcPr>
            <w:tcW w:type="dxa" w:w="312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Agent action</w:t>
            </w:r>
          </w:p>
        </w:tc>
      </w:tr>
      <w:tr>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Green</w:t>
            </w:r>
          </w:p>
        </w:tc>
        <w:tc>
          <w:tcPr>
            <w:tcW w:type="dxa" w:w="436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Low score, address with clean history</w:t>
            </w:r>
          </w:p>
        </w:tc>
        <w:tc>
          <w:tcPr>
            <w:tcW w:type="dxa" w:w="312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Minimal logging, no analysis</w:t>
            </w:r>
          </w:p>
        </w:tc>
      </w:tr>
      <w:tr>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Yellow</w:t>
            </w:r>
          </w:p>
        </w:tc>
        <w:tc>
          <w:tcPr>
            <w:tcW w:type="dxa" w:w="436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Intermediate score, or patterns inconsistent with the score</w:t>
            </w:r>
          </w:p>
        </w:tc>
        <w:tc>
          <w:tcPr>
            <w:tcW w:type="dxa" w:w="312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In-depth analysis and context memo</w:t>
            </w:r>
          </w:p>
        </w:tc>
      </w:tr>
      <w:tr>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Red</w:t>
            </w:r>
          </w:p>
        </w:tc>
        <w:tc>
          <w:tcPr>
            <w:tcW w:type="dxa" w:w="436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High score, or block due to an OFAC match</w:t>
            </w:r>
          </w:p>
        </w:tc>
        <w:tc>
          <w:tcPr>
            <w:tcW w:type="dxa" w:w="312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Full analysis and STR draft</w:t>
            </w:r>
          </w:p>
        </w:tc>
      </w:tr>
    </w:tbl>
    <w:p>
      <w:pPr>
        <w:spacing w:after="140" w:before="0" w:line="276"/>
      </w:pPr>
      <w:r>
        <w:rPr>
          <w:rFonts w:ascii="Calibri" w:cs="Calibri" w:eastAsia="Calibri" w:hAnsi="Calibri"/>
          <w:b w:val="false"/>
          <w:bCs w:val="false"/>
          <w:i w:val="false"/>
          <w:iCs w:val="false"/>
          <w:color w:val="000000"/>
          <w:sz w:val="21"/>
          <w:szCs w:val="21"/>
        </w:rPr>
        <w:t xml:space="preserve">The yellow zone is the most relevant. These are the transactions the hook did not block but that warrant review, because they may indicate sophisticated evasion that the score did not fully capture. The analysis memo is the agent's main output, the digital equivalent of the report that a compliance analyst drafts after reviewing an alert. It has an internal use, as a documented audit trail for deciding on gray-zone transactions, and a regulatory use, as the basis for preparing an STR before the competent authority. Its structure is standardized into eight sections: identification of the address, transaction analyzed, history, source of funds with hop tracing, identified typology, alternative legitimate hypothesis, conclusion with confidence level, and actionable recommendation.</w:t>
      </w:r>
    </w:p>
    <w:p>
      <w:pPr>
        <w:pBdr>
          <w:top w:val="single" w:color="CCCCCC" w:sz="4" w:space="6"/>
        </w:pBdr>
        <w:spacing w:after="0" w:before="280"/>
      </w:pPr>
      <w:r>
        <w:rPr>
          <w:rFonts w:ascii="Calibri" w:cs="Calibri" w:eastAsia="Calibri" w:hAnsi="Calibri"/>
          <w:b w:val="false"/>
          <w:bCs w:val="false"/>
          <w:i w:val="false"/>
          <w:iCs w:val="false"/>
          <w:color w:val="666666"/>
          <w:sz w:val="18"/>
          <w:szCs w:val="18"/>
        </w:rPr>
        <w:t xml:space="preserve">AML Hook. Version 3.0. July 2026</w:t>
      </w:r>
    </w:p>
    <w:p>
      <w:pPr>
        <w:spacing w:after="0"/>
      </w:pPr>
      <w:r>
        <w:rPr>
          <w:rFonts w:ascii="Calibri" w:cs="Calibri" w:eastAsia="Calibri" w:hAnsi="Calibri"/>
          <w:b w:val="false"/>
          <w:bCs w:val="false"/>
          <w:i w:val="false"/>
          <w:iCs w:val="false"/>
          <w:color w:val="666666"/>
          <w:sz w:val="18"/>
          <w:szCs w:val="18"/>
        </w:rPr>
        <w:t xml:space="preserve">Gonzalo Emanuel Heredia. Uniswap Hook Incubator, Cohort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wwxu1hlihuu5u-wwpmb2" Type="http://schemas.openxmlformats.org/officeDocument/2006/relationships/hyperlink" Target="https://www.criptonoticias.com/tecnologia/informe-tokenizacion-uso-real-defi-dlresearch-defillama/" TargetMode="External"/><Relationship Id="rIdrxacjcpykbxywjeyiqa2k" Type="http://schemas.openxmlformats.org/officeDocument/2006/relationships/hyperlink" Target="https://www.tradingview.com/news/cointelegraph:ba6a6e5fe094b:0-kyc-uniswap-integration-deployed-by-purefi-but-not-everyone-is-convinced/" TargetMode="External"/><Relationship Id="rIdd8ehz5fexjvqth2gd_57y" Type="http://schemas.openxmlformats.org/officeDocument/2006/relationships/hyperlink" Target="https://www.criptonoticias.com/mercados/token-uniswap-100-dolares-2030-standard-chartered/" TargetMode="External"/><Relationship Id="rIddhfq6dv5vfkji0dv0kzfm" Type="http://schemas.openxmlformats.org/officeDocument/2006/relationships/hyperlink" Target="https://blog.uniswap.org/introducing-permissioned-pools-on-uniswap-v4?utm_medium=social&amp;utm_source=tw&amp;utm_campaign=permissioned-pools-202607" TargetMode="External"/><Relationship Id="rIdmmpb5brgmc7mai_tj22cp" Type="http://schemas.openxmlformats.org/officeDocument/2006/relationships/hyperlink" Target="https://www.linkedin.com/posts/solana_the-line-between-institutional-finance-and-activity-7439367540536934400-Oho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2026-07-25T20:06:58.346Z</dcterms:created>
  <dcterms:modified xsi:type="dcterms:W3CDTF">2026-07-25T20:06:58.347Z</dcterms:modified>
</cp:coreProperties>
</file>

<file path=docProps/custom.xml><?xml version="1.0" encoding="utf-8"?>
<Properties xmlns="http://schemas.openxmlformats.org/officeDocument/2006/custom-properties" xmlns:vt="http://schemas.openxmlformats.org/officeDocument/2006/docPropsVTypes"/>
</file>