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Coffee Futures &amp; Option Valuation</w:t>
      </w:r>
    </w:p>
    <w:p>
      <w:pPr>
        <w:spacing w:after="220" w:before="0"/>
      </w:pPr>
      <w:r>
        <w:rPr>
          <w:b/>
          <w:color w:val="5A6875"/>
          <w:sz w:val="16"/>
        </w:rPr>
        <w:t>QUANTITATIVE PRICING MEMO  ·  10 October 2026</w:t>
      </w:r>
    </w:p>
    <w:p>
      <w:pPr>
        <w:pStyle w:val="Heading2"/>
      </w:pPr>
      <w:r>
        <w:t>Executive summary</w:t>
      </w:r>
    </w:p>
    <w:p>
      <w:pPr>
        <w:spacing w:after="160" w:before="0"/>
      </w:pPr>
      <w:r>
        <w:t>Using the supplied six-month market assumptions, the estimated fair futures price is $1.21814 per pound. A European call with a $1.25 strike is worth $0.06836 per pound using the spot-based Black-Scholes formula in the training guide; for a call specifically written on coffee futures, Black-76 yields $0.07119 per pound. Risk-neutral Monte Carlo provides an independent cross-check.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4032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VALUATION OUTPUT</w:t>
            </w:r>
          </w:p>
        </w:tc>
        <w:tc>
          <w:tcPr>
            <w:tcW w:type="dxa" w:w="1800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USD PER LB</w:t>
            </w:r>
          </w:p>
        </w:tc>
        <w:tc>
          <w:tcPr>
            <w:tcW w:type="dxa" w:w="3528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Six-month futures - cost of carry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$1.21814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Primary futures valuation</w:t>
            </w:r>
          </w:p>
        </w:tc>
      </w:tr>
      <w:tr>
        <w:tc>
          <w:tcPr>
            <w:tcW w:type="dxa" w:w="4032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European call - spot Black-Scholes</w:t>
            </w:r>
          </w:p>
        </w:tc>
        <w:tc>
          <w:tcPr>
            <w:tcW w:type="dxa" w:w="180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$0.06836</w:t>
            </w:r>
          </w:p>
        </w:tc>
        <w:tc>
          <w:tcPr>
            <w:tcW w:type="dxa" w:w="3528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Training-guide convention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European call on futures - Black-76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$0.07119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Preferred futures-option convention</w:t>
            </w:r>
          </w:p>
        </w:tc>
      </w:tr>
      <w:tr>
        <w:tc>
          <w:tcPr>
            <w:tcW w:type="dxa" w:w="4032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European call - Monte Carlo</w:t>
            </w:r>
          </w:p>
        </w:tc>
        <w:tc>
          <w:tcPr>
            <w:tcW w:type="dxa" w:w="180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$0.07141</w:t>
            </w:r>
          </w:p>
        </w:tc>
        <w:tc>
          <w:tcPr>
            <w:tcW w:type="dxa" w:w="3528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Simulation validation</w:t>
            </w:r>
          </w:p>
        </w:tc>
      </w:tr>
    </w:tbl>
    <w:p>
      <w:pPr>
        <w:spacing w:after="0"/>
      </w:pPr>
    </w:p>
    <w:p>
      <w:pPr>
        <w:pStyle w:val="Heading2"/>
      </w:pPr>
      <w:r>
        <w:t>Provided market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880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872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880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728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Spot coffee price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$1.20 / lb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Risk-free rate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2.00% p.a.</w:t>
            </w:r>
          </w:p>
        </w:tc>
      </w:tr>
      <w:tr>
        <w:tc>
          <w:tcPr>
            <w:tcW w:type="dxa" w:w="288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Storage cost rate</w:t>
            </w:r>
          </w:p>
        </w:tc>
        <w:tc>
          <w:tcPr>
            <w:tcW w:type="dxa" w:w="1872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1.00% p.a.</w:t>
            </w:r>
          </w:p>
        </w:tc>
        <w:tc>
          <w:tcPr>
            <w:tcW w:type="dxa" w:w="288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Maturity</w:t>
            </w:r>
          </w:p>
        </w:tc>
        <w:tc>
          <w:tcPr>
            <w:tcW w:type="dxa" w:w="1728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0.50 years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Call strike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$1.25 / lb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Volatility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25.00% p.a.</w:t>
            </w:r>
          </w:p>
        </w:tc>
      </w:tr>
    </w:tbl>
    <w:p>
      <w:pPr>
        <w:spacing w:after="0"/>
      </w:pPr>
    </w:p>
    <w:p>
      <w:pPr>
        <w:pStyle w:val="Heading2"/>
      </w:pPr>
      <w:r>
        <w:t>1  |  Cost-of-carry futures pricing</w:t>
      </w:r>
    </w:p>
    <w:p>
      <w:pPr>
        <w:spacing w:after="80" w:before="0"/>
      </w:pPr>
      <w:r>
        <w:t>F = S × exp[(r + d) × T] = 1.20 × exp[(0.02 + 0.01) × 0.50] = $1.21813568 / lb.</w:t>
      </w:r>
    </w:p>
    <w:p>
      <w:pPr>
        <w:spacing w:after="100" w:before="0"/>
      </w:pPr>
      <w:r>
        <w:t>Interpretation: financing and physical storage increase the six-month no-arbitrage carrying cost by approximately $0.01814 per pound. This simplified model assumes continuously compounded rates and zero convenience yield; it excludes transaction costs, delivery-grade differences, taxes and market frictions.</w:t>
      </w:r>
    </w:p>
    <w:p>
      <w:pPr>
        <w:pStyle w:val="Heading2"/>
      </w:pPr>
      <w:r>
        <w:t>2  |  European call option pricing</w:t>
      </w:r>
    </w:p>
    <w:p>
      <w:pPr>
        <w:spacing w:after="100" w:before="0"/>
      </w:pPr>
      <w:r>
        <w:t>Spot Black-Scholes (as in the training guide): C = S N(d1) − K exp(−rT) N(d2). With S = $1.20, K = $1.25, r = 2%, T = 0.50, and sigma = 25%, the call is $0.06836 / lb.</w:t>
      </w:r>
    </w:p>
    <w:p>
      <w:pPr>
        <w:spacing w:after="100" w:before="0"/>
      </w:pPr>
      <w:r>
        <w:t>Black-76 for an option on a futures contract: C = exp(−rT)[F N(h1) − K N(h2)], where h1 = [ln(F/K) + 0.5 sigma²T] / [sigma √T] and h2 = h1 − sigma √T. Substituting the cost-of-carry future gives $0.07119 / lb.</w:t>
      </w:r>
    </w:p>
    <w:p>
      <w:pPr>
        <w:pStyle w:val="Heading2"/>
      </w:pPr>
      <w:r>
        <w:t>3  |  Risk-neutral Monte Carlo cross-check</w:t>
      </w:r>
    </w:p>
    <w:p>
      <w:pPr>
        <w:spacing w:after="80" w:before="0"/>
      </w:pPr>
      <w:r>
        <w:t>200,000 independent terminal-price simulations, with random seed 42, use S(T) = S(0) exp[(r + d − 0.5 sigma²)T + sigma √T × Z], Z ~ N(0,1). With zero convenience yield, the simulated terminal mean should approximate F; the discounted mean of max[S(T) − K, 0] estimates the European call value.</w:t>
      </w:r>
    </w:p>
    <w:p>
      <w:pPr>
        <w:spacing w:after="100" w:before="0"/>
      </w:pPr>
      <w:r>
        <w:t>Results: mean simulated terminal coffee price = $1.21809 / lb (theoretical $1.21814); simulated call value = $0.07141 / lb, standard error $0.00029 / lb (approximate 95% Monte Carlo error band: $0.07084 to $0.07197).</w:t>
      </w:r>
    </w:p>
    <w:p>
      <w:r>
        <w:br w:type="page"/>
      </w:r>
    </w:p>
    <w:p>
      <w:pPr>
        <w:pStyle w:val="Heading1"/>
      </w:pPr>
      <w:r>
        <w:t>4  |  Supply, demand, weather and geopolitical scenarios</w:t>
      </w:r>
    </w:p>
    <w:p>
      <w:pPr>
        <w:spacing w:after="160" w:before="0"/>
      </w:pPr>
      <w:r>
        <w:t>The table below is a scenario sensitivity analysis, not an empirical forecast. Spot-price shocks and volatility assumptions are hypothetical analyst choices; the task provides no observed estimates for these shocks. Carry rates and maturity remain fixed. Each option value is calculated with Black-76.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3816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296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SPOT</w:t>
            </w:r>
          </w:p>
        </w:tc>
        <w:tc>
          <w:tcPr>
            <w:tcW w:type="dxa" w:w="1080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VOL.</w:t>
            </w:r>
          </w:p>
        </w:tc>
        <w:tc>
          <w:tcPr>
            <w:tcW w:type="dxa" w:w="1584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FUTURES</w:t>
            </w:r>
          </w:p>
        </w:tc>
        <w:tc>
          <w:tcPr>
            <w:tcW w:type="dxa" w:w="1440"/>
            <w:shd w:fill="244E7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CALL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Base case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$1.200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25%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$1.218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$0.071</w:t>
            </w:r>
          </w:p>
        </w:tc>
      </w:tr>
      <w:tr>
        <w:tc>
          <w:tcPr>
            <w:tcW w:type="dxa" w:w="3816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Severe drought / supply loss</w:t>
            </w:r>
          </w:p>
        </w:tc>
        <w:tc>
          <w:tcPr>
            <w:tcW w:type="dxa" w:w="1296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$1.380</w:t>
            </w:r>
          </w:p>
        </w:tc>
        <w:tc>
          <w:tcPr>
            <w:tcW w:type="dxa" w:w="108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35%</w:t>
            </w:r>
          </w:p>
        </w:tc>
        <w:tc>
          <w:tcPr>
            <w:tcW w:type="dxa" w:w="1584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$1.401</w:t>
            </w:r>
          </w:p>
        </w:tc>
        <w:tc>
          <w:tcPr>
            <w:tcW w:type="dxa" w:w="144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$0.217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Bumper harvest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$1.080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28%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$1.096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$0.035</w:t>
            </w:r>
          </w:p>
        </w:tc>
      </w:tr>
      <w:tr>
        <w:tc>
          <w:tcPr>
            <w:tcW w:type="dxa" w:w="3816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Stronger global demand</w:t>
            </w:r>
          </w:p>
        </w:tc>
        <w:tc>
          <w:tcPr>
            <w:tcW w:type="dxa" w:w="1296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$1.296</w:t>
            </w:r>
          </w:p>
        </w:tc>
        <w:tc>
          <w:tcPr>
            <w:tcW w:type="dxa" w:w="108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30%</w:t>
            </w:r>
          </w:p>
        </w:tc>
        <w:tc>
          <w:tcPr>
            <w:tcW w:type="dxa" w:w="1584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$1.316</w:t>
            </w:r>
          </w:p>
        </w:tc>
        <w:tc>
          <w:tcPr>
            <w:tcW w:type="dxa" w:w="144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$0.143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Demand slowdown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$1.104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30%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$1.121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$0.048</w:t>
            </w:r>
          </w:p>
        </w:tc>
      </w:tr>
      <w:tr>
        <w:tc>
          <w:tcPr>
            <w:tcW w:type="dxa" w:w="3816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Trade / geopolitical disruption</w:t>
            </w:r>
          </w:p>
        </w:tc>
        <w:tc>
          <w:tcPr>
            <w:tcW w:type="dxa" w:w="1296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$1.344</w:t>
            </w:r>
          </w:p>
        </w:tc>
        <w:tc>
          <w:tcPr>
            <w:tcW w:type="dxa" w:w="108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38%</w:t>
            </w:r>
          </w:p>
        </w:tc>
        <w:tc>
          <w:tcPr>
            <w:tcW w:type="dxa" w:w="1584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$1.364</w:t>
            </w:r>
          </w:p>
        </w:tc>
        <w:tc>
          <w:tcPr>
            <w:tcW w:type="dxa" w:w="1440"/>
            <w:shd w:fill="F4F7F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62E41"/>
                <w:sz w:val="17"/>
              </w:rPr>
              <w:t>$0.202</w:t>
            </w:r>
          </w:p>
        </w:tc>
      </w:tr>
    </w:tbl>
    <w:p>
      <w:pPr>
        <w:spacing w:after="0"/>
      </w:pP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1599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ffee_scenarios_inter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9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to interpret the drivers</w:t>
      </w:r>
    </w:p>
    <w:p>
      <w:pPr>
        <w:spacing w:after="100"/>
      </w:pPr>
      <w:r>
        <w:rPr>
          <w:b/>
        </w:rPr>
        <w:t xml:space="preserve">Supply and weather: </w:t>
      </w:r>
      <w:r>
        <w:t>Drought, frost, pests and shipping disruption may tighten available coffee supply, raising spot and futures prices. A bumper crop generally has the opposite effect.</w:t>
      </w:r>
    </w:p>
    <w:p>
      <w:pPr>
        <w:spacing w:after="100"/>
      </w:pPr>
      <w:r>
        <w:rPr>
          <w:b/>
        </w:rPr>
        <w:t xml:space="preserve">Demand: </w:t>
      </w:r>
      <w:r>
        <w:t>Stronger consumption can lift prices and the expected call payoff; weaker consumption can reduce them, all else equal.</w:t>
      </w:r>
    </w:p>
    <w:p>
      <w:pPr>
        <w:spacing w:after="100"/>
      </w:pPr>
      <w:r>
        <w:rPr>
          <w:b/>
        </w:rPr>
        <w:t xml:space="preserve">Geopolitics and FX: </w:t>
      </w:r>
      <w:r>
        <w:t>Export restrictions, political instability, freight costs and producer-currency movements can alter effective availability and risk premia.</w:t>
      </w:r>
    </w:p>
    <w:p>
      <w:pPr>
        <w:spacing w:after="100"/>
      </w:pPr>
      <w:r>
        <w:rPr>
          <w:b/>
        </w:rPr>
        <w:t xml:space="preserve">Option sensitivity: </w:t>
      </w:r>
      <w:r>
        <w:t>Higher underlying futures prices and greater expected volatility usually increase a European call value, subject to other assumptions.</w:t>
      </w:r>
    </w:p>
    <w:p>
      <w:pPr>
        <w:pStyle w:val="Heading2"/>
      </w:pPr>
      <w:r>
        <w:t>Pricing decision and risk controls</w:t>
      </w:r>
    </w:p>
    <w:p>
      <w:pPr>
        <w:spacing w:after="120" w:before="0"/>
      </w:pPr>
      <w:r>
        <w:t>Use $1.21814/lb as the stylized six-month futures fair-value estimate. For the stated European call on this future, use approximately $0.07119/lb as the preferred theoretical premium; the Monte Carlo estimate provides a consistent validation. Actual tradable prices require the quoted futures curve, option conventions, current implied volatility, contract specifications, transaction costs and calibration to market data.</w:t>
      </w:r>
    </w:p>
    <w:p>
      <w:pPr>
        <w:spacing w:after="120" w:before="0"/>
      </w:pPr>
      <w:r>
        <w:t>Risk controls: monitor price and volatility sensitivities (delta/vega), exposure limits, stress losses, basis risk, margin and liquidity. Refresh assumptions after crop reports, demand revisions, weather alerts or policy changes.</w:t>
      </w:r>
    </w:p>
    <w:p>
      <w:pPr>
        <w:pStyle w:val="Heading2"/>
        <w:spacing w:after="100" w:before="0"/>
      </w:pPr>
      <w:r>
        <w:t>Methodological notes</w:t>
      </w:r>
    </w:p>
    <w:p>
      <w:pPr>
        <w:spacing w:after="100" w:before="0"/>
      </w:pPr>
      <w:r>
        <w:rPr>
          <w:i/>
          <w:sz w:val="16"/>
        </w:rPr>
        <w:t>The call is assumed to be European and cash-settled at maturity. Annual rates are continuously compounded. Coffee prices and premiums are expressed per pound; contract-level USD amounts require the exchange contract size. The task inputs are instructional assumptions, not verified live market quotes. Simulations under risk-neutral pricing are valuation tools, not predictive forecasts of real-world expected returns.</w:t>
      </w:r>
    </w:p>
    <w:p>
      <w:pPr>
        <w:spacing w:after="0" w:before="0"/>
      </w:pPr>
      <w:r>
        <w:rPr>
          <w:color w:val="5A6875"/>
          <w:sz w:val="15"/>
        </w:rPr>
        <w:t>Reference: Citi / Forage "Pricing Commodities - Coffee" task data and the accompanying "Step by step guide" (provided with the training material).</w:t>
      </w:r>
    </w:p>
    <w:sectPr w:rsidR="00FC693F" w:rsidRPr="0006063C" w:rsidSect="00034616">
      <w:headerReference w:type="default" r:id="rId9"/>
      <w:footerReference w:type="default" r:id="rId10"/>
      <w:pgSz w:w="11909" w:h="16848"/>
      <w:pgMar w:top="1080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875"/>
        <w:sz w:val="14"/>
      </w:rPr>
      <w:t>Illustrative valuation  |  Task 2: Pricing Commodities - Coffee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A6875"/>
        <w:sz w:val="14"/>
      </w:rPr>
      <w:t>CITI MQA  /  SUMMER ANALYST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162E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4F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4F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24F7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