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Coffee-Linked Structured Note</w:t>
      </w:r>
    </w:p>
    <w:p>
      <w:pPr>
        <w:pStyle w:val="Deck"/>
      </w:pPr>
      <w:r>
        <w:t>Structured Securities Proposal &amp; Risk Mitigation Report  |  Scenario 2: Moderate-Risk Client</w:t>
      </w:r>
    </w:p>
    <w:p>
      <w:pPr>
        <w:pStyle w:val="Heading1"/>
        <w:keepNext/>
      </w:pPr>
      <w:r>
        <w:t>Executive recommendation</w:t>
      </w:r>
    </w:p>
    <w:p>
      <w:r>
        <w:t>Recommend an illustrative six-month, cash-settled coffee-linked note combining a small fixed coupon, principal repayment at maturity and limited participation in coffee price increases above a defined strike. The design responds to the client’s need for income and some commodity exposure without a direct position in futures.</w:t>
      </w:r>
    </w:p>
    <w:p>
      <w:r>
        <w:t>This is a preliminary training-case structure, not a tradable quote. Principal repayment depends on the issuer’s ability to pay; secondary-market prices can fall below par.</w:t>
      </w:r>
    </w:p>
    <w:p>
      <w:pPr>
        <w:pStyle w:val="Heading1"/>
        <w:keepNext/>
      </w:pPr>
      <w:r>
        <w:t>Proposed terms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2808"/>
            <w:shd w:fill="1639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type="dxa" w:w="7056"/>
            <w:shd w:fill="1639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Illustrative specification</w:t>
            </w:r>
          </w:p>
        </w:tc>
      </w:tr>
      <w:tr>
        <w:tc>
          <w:tcPr>
            <w:tcW w:type="dxa" w:w="28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0F5F9"/>
          </w:tcPr>
          <w:p>
            <w:pPr>
              <w:spacing w:after="0"/>
            </w:pPr>
            <w:r>
              <w:rPr>
                <w:b/>
                <w:sz w:val="16"/>
              </w:rPr>
              <w:t>Investor profile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0F5F9"/>
          </w:tcPr>
          <w:p>
            <w:pPr>
              <w:spacing w:after="0"/>
            </w:pPr>
            <w:r>
              <w:rPr>
                <w:sz w:val="16"/>
              </w:rPr>
              <w:t>Moderate risk; seeks income and positive coffee participation</w:t>
            </w:r>
          </w:p>
        </w:tc>
      </w:tr>
      <w:tr>
        <w:tc>
          <w:tcPr>
            <w:tcW w:type="dxa" w:w="28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Initial investment / maturity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$100 note denomination / six months</w:t>
            </w:r>
          </w:p>
        </w:tc>
      </w:tr>
      <w:tr>
        <w:tc>
          <w:tcPr>
            <w:tcW w:type="dxa" w:w="28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0F5F9"/>
          </w:tcPr>
          <w:p>
            <w:pPr>
              <w:spacing w:after="0"/>
            </w:pPr>
            <w:r>
              <w:rPr>
                <w:b/>
                <w:sz w:val="16"/>
              </w:rPr>
              <w:t>Underlying / currency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0F5F9"/>
          </w:tcPr>
          <w:p>
            <w:pPr>
              <w:spacing w:after="0"/>
            </w:pPr>
            <w:r>
              <w:rPr>
                <w:sz w:val="16"/>
              </w:rPr>
              <w:t>Coffee reference price, USD per pound; cash settlement</w:t>
            </w:r>
          </w:p>
        </w:tc>
      </w:tr>
      <w:tr>
        <w:tc>
          <w:tcPr>
            <w:tcW w:type="dxa" w:w="28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Reference level / strike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Initial spot $1.20/lb; upside strike $1.25/lb</w:t>
            </w:r>
          </w:p>
        </w:tc>
      </w:tr>
      <w:tr>
        <w:tc>
          <w:tcPr>
            <w:tcW w:type="dxa" w:w="28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0F5F9"/>
          </w:tcPr>
          <w:p>
            <w:pPr>
              <w:spacing w:after="0"/>
            </w:pPr>
            <w:r>
              <w:rPr>
                <w:b/>
                <w:sz w:val="16"/>
              </w:rPr>
              <w:t>Fixed coupon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0F5F9"/>
          </w:tcPr>
          <w:p>
            <w:pPr>
              <w:spacing w:after="0"/>
            </w:pPr>
            <w:r>
              <w:rPr>
                <w:sz w:val="16"/>
              </w:rPr>
              <w:t>0.20% total over six months, paid at maturity</w:t>
            </w:r>
          </w:p>
        </w:tc>
      </w:tr>
      <w:tr>
        <w:tc>
          <w:tcPr>
            <w:tcW w:type="dxa" w:w="28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Upside participation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10% of coffee appreciation above the $1.25/lb strike</w:t>
            </w:r>
          </w:p>
        </w:tc>
      </w:tr>
      <w:tr>
        <w:tc>
          <w:tcPr>
            <w:tcW w:type="dxa" w:w="28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0F5F9"/>
          </w:tcPr>
          <w:p>
            <w:pPr>
              <w:spacing w:after="0"/>
            </w:pPr>
            <w:r>
              <w:rPr>
                <w:b/>
                <w:sz w:val="16"/>
              </w:rPr>
              <w:t>Principal protection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0F5F9"/>
          </w:tcPr>
          <w:p>
            <w:pPr>
              <w:spacing w:after="0"/>
            </w:pPr>
            <w:r>
              <w:rPr>
                <w:sz w:val="16"/>
              </w:rPr>
              <w:t>100% contractual principal at maturity, subject to issuer credit</w:t>
            </w:r>
          </w:p>
        </w:tc>
      </w:tr>
      <w:tr>
        <w:tc>
          <w:tcPr>
            <w:tcW w:type="dxa" w:w="28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Observation / settlement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One fixing at maturity; detailed market conventions to be set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Contractual payoff and investor outcomes</w:t>
      </w:r>
    </w:p>
    <w:p>
      <w:r>
        <w:t>For each $100 invested, maturity payment = $100 × [1 + 0.002 + 0.10 × max((C_T − 1.25)/1.25, 0)]. Here C_T is the defined coffee reference fixing (USD/lb) at the six-month maturity.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c>
          <w:tcPr>
            <w:tcW w:type="dxa" w:w="2376"/>
            <w:shd w:fill="1639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Coffee at maturity</w:t>
            </w:r>
          </w:p>
        </w:tc>
        <w:tc>
          <w:tcPr>
            <w:tcW w:type="dxa" w:w="2520"/>
            <w:shd w:fill="1639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Investor payout / $100</w:t>
            </w:r>
          </w:p>
        </w:tc>
        <w:tc>
          <w:tcPr>
            <w:tcW w:type="dxa" w:w="4968"/>
            <w:shd w:fill="1639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Interpretation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0F5F9"/>
          </w:tcPr>
          <w:p>
            <w:pPr>
              <w:spacing w:after="0"/>
            </w:pPr>
            <w:r>
              <w:rPr>
                <w:b/>
                <w:sz w:val="16"/>
              </w:rPr>
              <w:t>$0.95/lb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0F5F9"/>
          </w:tcPr>
          <w:p>
            <w:pPr>
              <w:spacing w:after="0"/>
            </w:pPr>
            <w:r>
              <w:rPr>
                <w:sz w:val="16"/>
              </w:rPr>
              <w:t>$100.20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0F5F9"/>
          </w:tcPr>
          <w:p>
            <w:pPr>
              <w:spacing w:after="0"/>
            </w:pPr>
            <w:r>
              <w:rPr>
                <w:sz w:val="16"/>
              </w:rPr>
              <w:t>Coffee falls: coupon and principal only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$1.20/lb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$100.20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Unchanged versus initial spot: coupon only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0F5F9"/>
          </w:tcPr>
          <w:p>
            <w:pPr>
              <w:spacing w:after="0"/>
            </w:pPr>
            <w:r>
              <w:rPr>
                <w:b/>
                <w:sz w:val="16"/>
              </w:rPr>
              <w:t>$1.25/lb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0F5F9"/>
          </w:tcPr>
          <w:p>
            <w:pPr>
              <w:spacing w:after="0"/>
            </w:pPr>
            <w:r>
              <w:rPr>
                <w:sz w:val="16"/>
              </w:rPr>
              <w:t>$100.20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0F5F9"/>
          </w:tcPr>
          <w:p>
            <w:pPr>
              <w:spacing w:after="0"/>
            </w:pPr>
            <w:r>
              <w:rPr>
                <w:sz w:val="16"/>
              </w:rPr>
              <w:t>At strike: no upside participation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$1.40/lb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$101.40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12% rise above strike × 10% participation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0F5F9"/>
          </w:tcPr>
          <w:p>
            <w:pPr>
              <w:spacing w:after="0"/>
            </w:pPr>
            <w:r>
              <w:rPr>
                <w:b/>
                <w:sz w:val="16"/>
              </w:rPr>
              <w:t>$1.60/lb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0F5F9"/>
          </w:tcPr>
          <w:p>
            <w:pPr>
              <w:spacing w:after="0"/>
            </w:pPr>
            <w:r>
              <w:rPr>
                <w:sz w:val="16"/>
              </w:rPr>
              <w:t>$103.00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0F5F9"/>
          </w:tcPr>
          <w:p>
            <w:pPr>
              <w:spacing w:after="0"/>
            </w:pPr>
            <w:r>
              <w:rPr>
                <w:sz w:val="16"/>
              </w:rPr>
              <w:t>28% rise above strike × 10% participation</w:t>
            </w:r>
          </w:p>
        </w:tc>
      </w:tr>
    </w:tbl>
    <w:p>
      <w:pPr>
        <w:spacing w:after="0"/>
      </w:pPr>
    </w:p>
    <w:p>
      <w:pPr>
        <w:pStyle w:val="SmallNote"/>
      </w:pPr>
      <w:r>
        <w:t>Contractual payments exclude fees and taxes. No issuer-default recovery is assumed in this table.</w:t>
      </w:r>
    </w:p>
    <w:p>
      <w:r>
        <w:br w:type="page"/>
      </w:r>
    </w:p>
    <w:p>
      <w:pPr>
        <w:pStyle w:val="Heading1"/>
        <w:keepNext/>
      </w:pPr>
      <w:r>
        <w:t>Quantitative valuation: models from the previous task</w:t>
      </w:r>
    </w:p>
    <w:p>
      <w:r>
        <w:t>Reuse Task 2 inputs as a controlled example: spot $1.20/lb, risk-free rate 2% annually, storage carry 1% annually, volatility 25% annually, and six-month maturity. These are training assumptions, not current market quotations.</w:t>
      </w:r>
    </w:p>
    <w:p>
      <w:pPr>
        <w:pStyle w:val="Heading2"/>
        <w:keepNext/>
      </w:pPr>
      <w:r>
        <w:t>1   Cost-of-carry futures benchmark</w:t>
      </w:r>
    </w:p>
    <w:p>
      <w:r>
        <w:t>F_0 = S_0 × exp[(r + d) × T] = 1.20 × exp[(0.02 + 0.01) × 0.5] = $1.21814/lb.</w:t>
      </w:r>
    </w:p>
    <w:p>
      <w:r>
        <w:t>The simple model assumes continuously compounded financing/storage rates and zero convenience yield. Before trading, calibrate delivery grade, location, inventories, convenience yield, forward curve and any spot-to-futures basis.</w:t>
      </w:r>
    </w:p>
    <w:p>
      <w:pPr>
        <w:pStyle w:val="Heading2"/>
        <w:keepNext/>
      </w:pPr>
      <w:r>
        <w:t>2   Option component and indicative funding budget</w:t>
      </w:r>
    </w:p>
    <w:p>
      <w:r>
        <w:t>For a European payoff on a futures-related coffee reference, use a Black-76-style formula: Call = exp(−rT)[F_0 N(d1) − K N(d2)], with d1 = [ln(F_0/K) + 0.5σ²T]/(σ√T), d2 = d1 − σ√T, and K = $1.25/lb.</w:t>
      </w:r>
    </w:p>
    <w:p>
      <w:r>
        <w:t>The theoretical call value is $0.07119/lb. The note embeds 10% participation in (C_T − K)/K, equivalent to a call budget of $100 × 0.10/K × $0.07119 = $0.5695 per $100 of principal.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6264"/>
            <w:shd w:fill="1639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Indicative cost at issue / $100</w:t>
            </w:r>
          </w:p>
        </w:tc>
        <w:tc>
          <w:tcPr>
            <w:tcW w:type="dxa" w:w="3600"/>
            <w:shd w:fill="1639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Present value</w:t>
            </w:r>
          </w:p>
        </w:tc>
      </w:tr>
      <w:tr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0F5F9"/>
          </w:tcPr>
          <w:p>
            <w:pPr>
              <w:spacing w:after="0"/>
            </w:pPr>
            <w:r>
              <w:rPr>
                <w:b/>
                <w:sz w:val="16"/>
              </w:rPr>
              <w:t>Risk-free funding of principal at maturity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0F5F9"/>
          </w:tcPr>
          <w:p>
            <w:pPr>
              <w:spacing w:after="0"/>
            </w:pPr>
            <w:r>
              <w:rPr>
                <w:sz w:val="16"/>
              </w:rPr>
              <w:t>$99.0050</w:t>
            </w:r>
          </w:p>
        </w:tc>
      </w:tr>
      <w:tr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PV of $0.20 coupon at maturity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$0.1980</w:t>
            </w:r>
          </w:p>
        </w:tc>
      </w:tr>
      <w:tr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0F5F9"/>
          </w:tcPr>
          <w:p>
            <w:pPr>
              <w:spacing w:after="0"/>
            </w:pPr>
            <w:r>
              <w:rPr>
                <w:b/>
                <w:sz w:val="16"/>
              </w:rPr>
              <w:t>PV of embedded coffee call participation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0F5F9"/>
          </w:tcPr>
          <w:p>
            <w:pPr>
              <w:spacing w:after="0"/>
            </w:pPr>
            <w:r>
              <w:rPr>
                <w:sz w:val="16"/>
              </w:rPr>
              <w:t>$0.5695</w:t>
            </w:r>
          </w:p>
        </w:tc>
      </w:tr>
      <w:tr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Total theoretical cost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$99.7725</w:t>
            </w:r>
          </w:p>
        </w:tc>
      </w:tr>
      <w:tr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0F5F9"/>
          </w:tcPr>
          <w:p>
            <w:pPr>
              <w:spacing w:after="0"/>
            </w:pPr>
            <w:r>
              <w:rPr>
                <w:b/>
                <w:sz w:val="16"/>
              </w:rPr>
              <w:t>Unallocated headroom before all costs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0F5F9"/>
          </w:tcPr>
          <w:p>
            <w:pPr>
              <w:spacing w:after="0"/>
            </w:pPr>
            <w:r>
              <w:rPr>
                <w:sz w:val="16"/>
              </w:rPr>
              <w:t>$0.2275</w:t>
            </w:r>
          </w:p>
        </w:tc>
      </w:tr>
    </w:tbl>
    <w:p>
      <w:pPr>
        <w:spacing w:after="0"/>
      </w:pPr>
    </w:p>
    <w:p>
      <w:pPr>
        <w:pStyle w:val="SmallNote"/>
      </w:pPr>
      <w:r>
        <w:t>Headroom is only an indicative model budget, not an issuer margin: transaction fees, market-making hedges, issuer funding/credit, model reserves and slippage must be priced before issuance.</w:t>
      </w:r>
    </w:p>
    <w:p>
      <w:pPr>
        <w:pStyle w:val="Heading2"/>
        <w:keepNext/>
      </w:pPr>
      <w:r>
        <w:t>3   Monte Carlo validation and scenario analysis</w:t>
      </w:r>
    </w:p>
    <w:p>
      <w:r>
        <w:t>Simulate 200,000 independent six-month terminal coffee prices with geometric Brownian motion under a risk-neutral drift matching the simplified forward: C_T = S_0 × exp[(r + d − 0.5σ²)T + σ√T × Z], Z ~ N(0,1); random seed 42.</w:t>
      </w:r>
    </w:p>
    <w:p>
      <w:r>
        <w:t>Monte Carlo call estimate = $0.07141/lb (95% simulation confidence interval $0.07084–$0.07197/lb), consistent with the analytical $0.07119/lb value. This is a model consistency check, not an empirical forecast.</w:t>
      </w:r>
    </w:p>
    <w:p>
      <w:r>
        <w:t>For supply-demand, climate and geopolitical stresses, perturb the forward curve and volatility separately. Strong harvests may lower expected prices; crop damage, export restrictions and logistics shocks may raise prices and volatility. No event probabilities are implied by these directional scenarios.</w:t>
      </w:r>
    </w:p>
    <w:p>
      <w:r>
        <w:br w:type="page"/>
      </w:r>
    </w:p>
    <w:p>
      <w:pPr>
        <w:pStyle w:val="Heading1"/>
        <w:keepNext/>
      </w:pPr>
      <w:r>
        <w:t>Hedging implementation and risk mitigation</w:t>
      </w:r>
    </w:p>
    <w:p>
      <w:r>
        <w:t>Issuer hedge: buy a matching coffee call in the market where available, or dynamically delta-hedge the short embedded call exposure with the appropriate futures contract. Fund the protected payment with high-quality discounted assets matched to maturity, subject to funding and counterparty limits.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2405"/>
            <w:shd w:fill="1639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7459"/>
            <w:shd w:fill="1639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Mitigation and control</w:t>
            </w:r>
          </w:p>
        </w:tc>
      </w:tr>
      <w:tr>
        <w:tc>
          <w:tcPr>
            <w:tcW w:type="dxa" w:w="24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0F5F9"/>
          </w:tcPr>
          <w:p>
            <w:pPr>
              <w:spacing w:after="0"/>
            </w:pPr>
            <w:r>
              <w:rPr>
                <w:b/>
                <w:sz w:val="16"/>
              </w:rPr>
              <w:t>Coffee price / delta</w:t>
            </w:r>
          </w:p>
        </w:tc>
        <w:tc>
          <w:tcPr>
            <w:tcW w:type="dxa" w:w="745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0F5F9"/>
          </w:tcPr>
          <w:p>
            <w:pPr>
              <w:spacing w:after="0"/>
            </w:pPr>
            <w:r>
              <w:rPr>
                <w:sz w:val="16"/>
              </w:rPr>
              <w:t>Daily option Greeks; set delta/vega limits, rebalance hedge and stress large gaps.</w:t>
            </w:r>
          </w:p>
        </w:tc>
      </w:tr>
      <w:tr>
        <w:tc>
          <w:tcPr>
            <w:tcW w:type="dxa" w:w="24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Basis, delivery and roll</w:t>
            </w:r>
          </w:p>
        </w:tc>
        <w:tc>
          <w:tcPr>
            <w:tcW w:type="dxa" w:w="745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Match ICE grade, reference fixing, expiry and units; monitor spot–futures basis and roll.</w:t>
            </w:r>
          </w:p>
        </w:tc>
      </w:tr>
      <w:tr>
        <w:tc>
          <w:tcPr>
            <w:tcW w:type="dxa" w:w="24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0F5F9"/>
          </w:tcPr>
          <w:p>
            <w:pPr>
              <w:spacing w:after="0"/>
            </w:pPr>
            <w:r>
              <w:rPr>
                <w:b/>
                <w:sz w:val="16"/>
              </w:rPr>
              <w:t>Volatility / model risk</w:t>
            </w:r>
          </w:p>
        </w:tc>
        <w:tc>
          <w:tcPr>
            <w:tcW w:type="dxa" w:w="745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0F5F9"/>
          </w:tcPr>
          <w:p>
            <w:pPr>
              <w:spacing w:after="0"/>
            </w:pPr>
            <w:r>
              <w:rPr>
                <w:sz w:val="16"/>
              </w:rPr>
              <w:t>Compare implied and historical volatility; reprice with Black-76 and Monte Carlo; independent validation.</w:t>
            </w:r>
          </w:p>
        </w:tc>
      </w:tr>
      <w:tr>
        <w:tc>
          <w:tcPr>
            <w:tcW w:type="dxa" w:w="24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Liquidity / execution</w:t>
            </w:r>
          </w:p>
        </w:tc>
        <w:tc>
          <w:tcPr>
            <w:tcW w:type="dxa" w:w="745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Limit position size, maintain liquid hedging instruments and assess bid-ask spreads.</w:t>
            </w:r>
          </w:p>
        </w:tc>
      </w:tr>
      <w:tr>
        <w:tc>
          <w:tcPr>
            <w:tcW w:type="dxa" w:w="24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0F5F9"/>
          </w:tcPr>
          <w:p>
            <w:pPr>
              <w:spacing w:after="0"/>
            </w:pPr>
            <w:r>
              <w:rPr>
                <w:b/>
                <w:sz w:val="16"/>
              </w:rPr>
              <w:t>Issuer / counterparty credit</w:t>
            </w:r>
          </w:p>
        </w:tc>
        <w:tc>
          <w:tcPr>
            <w:tcW w:type="dxa" w:w="745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0F5F9"/>
          </w:tcPr>
          <w:p>
            <w:pPr>
              <w:spacing w:after="0"/>
            </w:pPr>
            <w:r>
              <w:rPr>
                <w:sz w:val="16"/>
              </w:rPr>
              <w:t>Disclose that protection is contractual, not insured; set exposure limits and review credit quality.</w:t>
            </w:r>
          </w:p>
        </w:tc>
      </w:tr>
      <w:tr>
        <w:tc>
          <w:tcPr>
            <w:tcW w:type="dxa" w:w="24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Financing / interest rates</w:t>
            </w:r>
          </w:p>
        </w:tc>
        <w:tc>
          <w:tcPr>
            <w:tcW w:type="dxa" w:w="745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Match funded liabilities and maturities; monitor discounting and funding spread changes.</w:t>
            </w:r>
          </w:p>
        </w:tc>
      </w:tr>
      <w:tr>
        <w:tc>
          <w:tcPr>
            <w:tcW w:type="dxa" w:w="24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0F5F9"/>
          </w:tcPr>
          <w:p>
            <w:pPr>
              <w:spacing w:after="0"/>
            </w:pPr>
            <w:r>
              <w:rPr>
                <w:b/>
                <w:sz w:val="16"/>
              </w:rPr>
              <w:t>Operations / legal</w:t>
            </w:r>
          </w:p>
        </w:tc>
        <w:tc>
          <w:tcPr>
            <w:tcW w:type="dxa" w:w="745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0F5F9"/>
          </w:tcPr>
          <w:p>
            <w:pPr>
              <w:spacing w:after="0"/>
            </w:pPr>
            <w:r>
              <w:rPr>
                <w:sz w:val="16"/>
              </w:rPr>
              <w:t>Daily reconciliation; confirm documentation, fixings, settlement and investor disclosures.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Key sensitivity: volatility can exhaust pricing headroom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1"/>
        <w:gridCol w:w="2491"/>
        <w:gridCol w:w="2491"/>
        <w:gridCol w:w="2491"/>
      </w:tblGrid>
      <w:tr>
        <w:tc>
          <w:tcPr>
            <w:tcW w:type="dxa" w:w="2088"/>
            <w:shd w:fill="1639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Implied volatility</w:t>
            </w:r>
          </w:p>
        </w:tc>
        <w:tc>
          <w:tcPr>
            <w:tcW w:type="dxa" w:w="2232"/>
            <w:shd w:fill="1639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Call fair value</w:t>
            </w:r>
          </w:p>
        </w:tc>
        <w:tc>
          <w:tcPr>
            <w:tcW w:type="dxa" w:w="2592"/>
            <w:shd w:fill="1639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Note option cost / $100</w:t>
            </w:r>
          </w:p>
        </w:tc>
        <w:tc>
          <w:tcPr>
            <w:tcW w:type="dxa" w:w="2952"/>
            <w:shd w:fill="1639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Theoretical headroom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0F5F9"/>
          </w:tcPr>
          <w:p>
            <w:pPr>
              <w:spacing w:after="0"/>
            </w:pPr>
            <w:r>
              <w:rPr>
                <w:b/>
                <w:sz w:val="16"/>
              </w:rPr>
              <w:t>15%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0F5F9"/>
          </w:tcPr>
          <w:p>
            <w:pPr>
              <w:spacing w:after="0"/>
            </w:pPr>
            <w:r>
              <w:rPr>
                <w:sz w:val="16"/>
              </w:rPr>
              <w:t>$0.03742/lb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0F5F9"/>
          </w:tcPr>
          <w:p>
            <w:pPr>
              <w:spacing w:after="0"/>
            </w:pPr>
            <w:r>
              <w:rPr>
                <w:sz w:val="16"/>
              </w:rPr>
              <w:t>$0.2994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0F5F9"/>
          </w:tcPr>
          <w:p>
            <w:pPr>
              <w:spacing w:after="0"/>
            </w:pPr>
            <w:r>
              <w:rPr>
                <w:sz w:val="16"/>
              </w:rPr>
              <w:t>$+0.4976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25%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$0.07119/lb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$0.5695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$+0.2275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0F5F9"/>
          </w:tcPr>
          <w:p>
            <w:pPr>
              <w:spacing w:after="0"/>
            </w:pPr>
            <w:r>
              <w:rPr>
                <w:b/>
                <w:sz w:val="16"/>
              </w:rPr>
              <w:t>35%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0F5F9"/>
          </w:tcPr>
          <w:p>
            <w:pPr>
              <w:spacing w:after="0"/>
            </w:pPr>
            <w:r>
              <w:rPr>
                <w:sz w:val="16"/>
              </w:rPr>
              <w:t>$0.10520/lb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0F5F9"/>
          </w:tcPr>
          <w:p>
            <w:pPr>
              <w:spacing w:after="0"/>
            </w:pPr>
            <w:r>
              <w:rPr>
                <w:sz w:val="16"/>
              </w:rPr>
              <w:t>$0.8416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0F5F9"/>
          </w:tcPr>
          <w:p>
            <w:pPr>
              <w:spacing w:after="0"/>
            </w:pPr>
            <w:r>
              <w:rPr>
                <w:sz w:val="16"/>
              </w:rPr>
              <w:t>$-0.0446</w:t>
            </w:r>
          </w:p>
        </w:tc>
      </w:tr>
    </w:tbl>
    <w:p>
      <w:pPr>
        <w:spacing w:after="0"/>
      </w:pPr>
    </w:p>
    <w:p>
      <w:r>
        <w:t>At 35% volatility, the structure becomes theoretically underfunded at the same offered terms. Reprice participation/coupon, reduce exposure, obtain executable hedges or decline issuance; never assume a historical-volatility estimate is an executable option quote.</w:t>
      </w:r>
    </w:p>
    <w:p>
      <w:pPr>
        <w:pStyle w:val="Heading1"/>
        <w:keepNext/>
      </w:pPr>
      <w:r>
        <w:t>Decision and next steps</w:t>
      </w:r>
    </w:p>
    <w:p>
      <w:r>
        <w:t>Proceed only to an indicative client discussion. Before issuance: (i) obtain the relevant coffee futures and option quotes, (ii) confirm legal reference/settlement terms and suitability, (iii) validate funding and hedge costs, (iv) run downside, gap, volatility and default stresses, and (v) secure independent model and risk approval.</w:t>
      </w:r>
    </w:p>
    <w:p>
      <w:pPr>
        <w:pStyle w:val="SmallNote"/>
      </w:pPr>
      <w:r>
        <w:t>Provenance: client scenarios and product techniques are supplied by Citi/Forage Task 3; price inputs and core models are reused from the earlier Task 2 learning exercise. The coupon, strike use, participation rate, structure, risk limits and Monte Carlo valuation here are analyst-designed illustrative assumptions, not statements about Citi products.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38" w:bottom="936" w:left="1138" w:header="44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B7A"/>
        <w:sz w:val="14"/>
      </w:rPr>
      <w:t xml:space="preserve">INDICATIVE • NOT AN INVESTMENT OFFER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163964"/>
        <w:sz w:val="14"/>
      </w:rPr>
      <w:t>MARKETS QUANTITATIVE ANALYSIS   /   CITI TRAINING CASE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D2B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964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716E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39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ck">
    <w:name w:val="Deck"/>
    <w:basedOn w:val="Normal"/>
    <w:pPr>
      <w:spacing w:after="200"/>
    </w:pPr>
    <w:rPr>
      <w:color w:val="5A6B7A"/>
      <w:sz w:val="20"/>
    </w:rPr>
  </w:style>
  <w:style w:type="paragraph" w:customStyle="1" w:styleId="SmallNote">
    <w:name w:val="SmallNote"/>
    <w:basedOn w:val="Normal"/>
    <w:pPr>
      <w:spacing w:after="80"/>
    </w:pPr>
    <w:rPr>
      <w:color w:val="5A6B7A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