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7B5E3" w14:textId="3F8E1BD0" w:rsidR="00BE58DA" w:rsidRDefault="00996042" w:rsidP="00996042">
      <w:pPr>
        <w:pStyle w:val="Ttulo1"/>
      </w:pPr>
      <w:r>
        <w:t>Práctica 5</w:t>
      </w:r>
      <w:r w:rsidR="00830AA2">
        <w:t xml:space="preserve">.  </w:t>
      </w:r>
      <w:r w:rsidR="006160DE">
        <w:t>NOMBRE ALUMNO:</w:t>
      </w:r>
      <w:r w:rsidR="00C4119A">
        <w:t xml:space="preserve"> Gonzalo Sanz</w:t>
      </w:r>
    </w:p>
    <w:p w14:paraId="4839786A" w14:textId="77777777" w:rsidR="006160DE" w:rsidRDefault="006160DE" w:rsidP="006160DE">
      <w:pPr>
        <w:pBdr>
          <w:bottom w:val="single" w:sz="4" w:space="1" w:color="auto"/>
        </w:pBdr>
      </w:pPr>
      <w:r>
        <w:t>PRIMERA PARTE:</w:t>
      </w:r>
    </w:p>
    <w:p w14:paraId="5FCD6820" w14:textId="77777777" w:rsidR="00BF0D2A" w:rsidRDefault="00BF0D2A" w:rsidP="00996042">
      <w:pPr>
        <w:pStyle w:val="Prrafodelista"/>
        <w:numPr>
          <w:ilvl w:val="0"/>
          <w:numId w:val="1"/>
        </w:numPr>
      </w:pPr>
      <w:r>
        <w:t xml:space="preserve">Crea un proyecto nuevo mediante el sistema de </w:t>
      </w:r>
      <w:proofErr w:type="spellStart"/>
      <w:r>
        <w:t>menus</w:t>
      </w:r>
      <w:proofErr w:type="spellEnd"/>
      <w:r>
        <w:t xml:space="preserve"> de </w:t>
      </w:r>
      <w:proofErr w:type="spellStart"/>
      <w:r>
        <w:t>RStudio</w:t>
      </w:r>
      <w:proofErr w:type="spellEnd"/>
      <w:r>
        <w:t>.</w:t>
      </w:r>
    </w:p>
    <w:p w14:paraId="662089DC" w14:textId="77777777" w:rsidR="00C12457" w:rsidRDefault="00C12457" w:rsidP="00996042">
      <w:pPr>
        <w:pStyle w:val="Prrafodelista"/>
        <w:numPr>
          <w:ilvl w:val="0"/>
          <w:numId w:val="1"/>
        </w:numPr>
      </w:pPr>
      <w:r>
        <w:t xml:space="preserve">Carga los datos de los archivos datos1.csv en </w:t>
      </w:r>
      <w:r w:rsidR="00B77777">
        <w:t>un objeto</w:t>
      </w:r>
      <w:r>
        <w:t xml:space="preserve"> </w:t>
      </w:r>
      <w:r w:rsidR="00B77777">
        <w:t>denominado df1.</w:t>
      </w:r>
    </w:p>
    <w:p w14:paraId="0955AEE4" w14:textId="77777777" w:rsidR="00C12457" w:rsidRDefault="00C12457" w:rsidP="00C12457">
      <w:pPr>
        <w:pStyle w:val="Prrafodelista"/>
        <w:ind w:left="1440"/>
      </w:pPr>
      <w:r>
        <w:t>&gt; df1&lt;-read.csv(“datos1.csv”)</w:t>
      </w:r>
      <w:r w:rsidR="000D5BC3">
        <w:t xml:space="preserve"> #indica el nombre de la ruta si es necesario</w:t>
      </w:r>
    </w:p>
    <w:p w14:paraId="37231EDF" w14:textId="77777777" w:rsidR="000D5BC3" w:rsidRDefault="000D5BC3" w:rsidP="00C12457">
      <w:pPr>
        <w:pStyle w:val="Prrafodelista"/>
        <w:ind w:left="1440"/>
      </w:pPr>
      <w:r>
        <w:t xml:space="preserve"># también puedes cargar los datos desde los menús del WS de </w:t>
      </w:r>
      <w:proofErr w:type="spellStart"/>
      <w:r>
        <w:t>RStudio</w:t>
      </w:r>
      <w:proofErr w:type="spellEnd"/>
      <w:r>
        <w:t>.</w:t>
      </w:r>
    </w:p>
    <w:p w14:paraId="596413C6" w14:textId="77777777" w:rsidR="00C12457" w:rsidRDefault="00C12457" w:rsidP="00996042">
      <w:pPr>
        <w:pStyle w:val="Prrafodelista"/>
        <w:numPr>
          <w:ilvl w:val="0"/>
          <w:numId w:val="1"/>
        </w:numPr>
      </w:pPr>
      <w:r>
        <w:t>U</w:t>
      </w:r>
      <w:r w:rsidR="00BF0D2A">
        <w:t>ti</w:t>
      </w:r>
      <w:r>
        <w:t xml:space="preserve">liza la directiva </w:t>
      </w:r>
      <w:proofErr w:type="spellStart"/>
      <w:r>
        <w:t>str</w:t>
      </w:r>
      <w:proofErr w:type="spellEnd"/>
      <w:r>
        <w:t xml:space="preserve"> para comprobar el tipo de las variables df1 y df2 haciendo </w:t>
      </w:r>
    </w:p>
    <w:p w14:paraId="6F5766B2" w14:textId="77777777" w:rsidR="00C12457" w:rsidRDefault="00C12457" w:rsidP="00C12457">
      <w:pPr>
        <w:ind w:left="1080"/>
      </w:pPr>
      <w:r w:rsidRPr="00C12457">
        <w:rPr>
          <w:sz w:val="20"/>
        </w:rPr>
        <w:t>&gt;</w:t>
      </w:r>
      <w:r>
        <w:rPr>
          <w:sz w:val="20"/>
        </w:rPr>
        <w:t xml:space="preserve"> </w:t>
      </w:r>
      <w:proofErr w:type="spellStart"/>
      <w:r w:rsidRPr="00C12457">
        <w:rPr>
          <w:sz w:val="20"/>
        </w:rPr>
        <w:t>str</w:t>
      </w:r>
      <w:proofErr w:type="spellEnd"/>
      <w:r w:rsidRPr="00C12457">
        <w:rPr>
          <w:sz w:val="20"/>
        </w:rPr>
        <w:t>(df1)</w:t>
      </w:r>
      <w:r w:rsidR="000D5BC3">
        <w:rPr>
          <w:sz w:val="20"/>
        </w:rPr>
        <w:t xml:space="preserve"> # por ejemplo</w:t>
      </w:r>
    </w:p>
    <w:p w14:paraId="070BBDB8" w14:textId="77777777" w:rsidR="006F23D0" w:rsidRDefault="006F23D0" w:rsidP="006F23D0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dataset</w:t>
      </w:r>
      <w:proofErr w:type="spellEnd"/>
      <w:r>
        <w:t xml:space="preserve"> datos1.csv contiene los tiempos de 100 ejecuciones de una carga de prueba en dos sistemas A y B. El fabricante asegura que ambos sistemas siguen una distribución normal con med</w:t>
      </w:r>
      <w:r w:rsidR="00B74DE9">
        <w:t>i</w:t>
      </w:r>
      <w:r>
        <w:t xml:space="preserve">as 30 y 31 segundos respectivamente y con desviaciones típicas 1.5 y 0.5 respectivamente. Para decidir si los dos sistemas son o no equivalentes utilizamos el programa </w:t>
      </w:r>
      <w:proofErr w:type="spellStart"/>
      <w:r>
        <w:t>ICalfa</w:t>
      </w:r>
      <w:proofErr w:type="spellEnd"/>
      <w:r>
        <w:t xml:space="preserve"> de la práctica anterior a nivel alfa=0.05. ¿Cuál es la decisión a tomar de acuerdo con este programa?</w:t>
      </w:r>
    </w:p>
    <w:p w14:paraId="6879E37B" w14:textId="77777777" w:rsidR="00C12457" w:rsidRDefault="00C12457" w:rsidP="00996042">
      <w:pPr>
        <w:pStyle w:val="Prrafodelista"/>
        <w:numPr>
          <w:ilvl w:val="0"/>
          <w:numId w:val="1"/>
        </w:numPr>
      </w:pPr>
      <w:r w:rsidRPr="00C12457">
        <w:t xml:space="preserve">El test </w:t>
      </w:r>
      <w:proofErr w:type="spellStart"/>
      <w:r w:rsidRPr="00C12457">
        <w:t>One</w:t>
      </w:r>
      <w:proofErr w:type="spellEnd"/>
      <w:r w:rsidRPr="00C12457">
        <w:t xml:space="preserve"> </w:t>
      </w:r>
      <w:proofErr w:type="spellStart"/>
      <w:r w:rsidRPr="00C12457">
        <w:t>sample</w:t>
      </w:r>
      <w:proofErr w:type="spellEnd"/>
      <w:r w:rsidRPr="00C12457">
        <w:t xml:space="preserve"> T-test de la librería </w:t>
      </w:r>
      <w:proofErr w:type="spellStart"/>
      <w:r w:rsidRPr="00C12457">
        <w:t>stats</w:t>
      </w:r>
      <w:proofErr w:type="spellEnd"/>
      <w:r w:rsidRPr="00C12457">
        <w:t xml:space="preserve"> sirve para calcular el </w:t>
      </w:r>
      <w:r w:rsidR="006F23D0">
        <w:t>i</w:t>
      </w:r>
      <w:r w:rsidRPr="00C12457">
        <w:t xml:space="preserve">ntervalo de </w:t>
      </w:r>
      <w:r w:rsidR="006F23D0">
        <w:t>c</w:t>
      </w:r>
      <w:r w:rsidRPr="00C12457">
        <w:t>onfianza</w:t>
      </w:r>
      <w:r w:rsidR="006F23D0">
        <w:t xml:space="preserve"> para la media</w:t>
      </w:r>
      <w:r>
        <w:t xml:space="preserve">, pero además produce otros resultados interesantes como el p-valor. La librería </w:t>
      </w:r>
      <w:proofErr w:type="spellStart"/>
      <w:r>
        <w:t>stats</w:t>
      </w:r>
      <w:proofErr w:type="spellEnd"/>
      <w:r>
        <w:t xml:space="preserve"> está cargada por defecto en </w:t>
      </w:r>
      <w:proofErr w:type="spellStart"/>
      <w:r>
        <w:t>RStudio</w:t>
      </w:r>
      <w:proofErr w:type="spellEnd"/>
      <w:r>
        <w:t xml:space="preserve">, por lo que no es necesario cargarla. </w:t>
      </w:r>
    </w:p>
    <w:p w14:paraId="2718C2E5" w14:textId="77777777" w:rsidR="00C12457" w:rsidRDefault="00C12457" w:rsidP="00C12457">
      <w:pPr>
        <w:pStyle w:val="Prrafodelista"/>
        <w:numPr>
          <w:ilvl w:val="1"/>
          <w:numId w:val="1"/>
        </w:numPr>
      </w:pPr>
      <w:r>
        <w:t xml:space="preserve">Utiliza </w:t>
      </w:r>
      <w:proofErr w:type="spellStart"/>
      <w:r>
        <w:t>help</w:t>
      </w:r>
      <w:proofErr w:type="spellEnd"/>
      <w:r>
        <w:t>(</w:t>
      </w:r>
      <w:proofErr w:type="spellStart"/>
      <w:r>
        <w:t>t.test</w:t>
      </w:r>
      <w:proofErr w:type="spellEnd"/>
      <w:r>
        <w:t>) para aprender cómo manejar</w:t>
      </w:r>
      <w:r w:rsidR="00B74DE9">
        <w:t xml:space="preserve"> e interpretar</w:t>
      </w:r>
      <w:r>
        <w:t xml:space="preserve"> el test.</w:t>
      </w:r>
    </w:p>
    <w:p w14:paraId="7BF9A387" w14:textId="77777777" w:rsidR="00C12457" w:rsidRDefault="00C12457" w:rsidP="00C12457">
      <w:pPr>
        <w:pStyle w:val="Prrafodelista"/>
        <w:numPr>
          <w:ilvl w:val="1"/>
          <w:numId w:val="1"/>
        </w:numPr>
      </w:pPr>
      <w:r>
        <w:t>Úsalo para calcular el intervalo de confianza para la diferenc</w:t>
      </w:r>
      <w:r w:rsidR="00B74DE9">
        <w:t xml:space="preserve">ia de medias con los </w:t>
      </w:r>
      <w:r>
        <w:t xml:space="preserve">datos del archivo datos1.csv. </w:t>
      </w:r>
    </w:p>
    <w:p w14:paraId="3303782A" w14:textId="77777777" w:rsidR="006F23D0" w:rsidRDefault="006F23D0" w:rsidP="00C12457">
      <w:pPr>
        <w:pStyle w:val="Prrafodelista"/>
        <w:numPr>
          <w:ilvl w:val="1"/>
          <w:numId w:val="1"/>
        </w:numPr>
      </w:pPr>
      <w:r>
        <w:t>Copara los resultados con los obtenidos en el apartado 4.</w:t>
      </w:r>
    </w:p>
    <w:p w14:paraId="2725C27E" w14:textId="77777777" w:rsidR="006F23D0" w:rsidRDefault="006F23D0" w:rsidP="006F23D0">
      <w:pPr>
        <w:pStyle w:val="Prrafodelista"/>
        <w:numPr>
          <w:ilvl w:val="0"/>
          <w:numId w:val="1"/>
        </w:numPr>
      </w:pPr>
      <w:r>
        <w:t xml:space="preserve">Cuando la varianza es conocida, se puede utilizar un test basado en la normal. La librería </w:t>
      </w:r>
      <w:proofErr w:type="spellStart"/>
      <w:r>
        <w:t>TeachingDemos</w:t>
      </w:r>
      <w:proofErr w:type="spellEnd"/>
      <w:r>
        <w:t xml:space="preserve"> proporciona una función </w:t>
      </w:r>
      <w:proofErr w:type="spellStart"/>
      <w:r>
        <w:t>z.test</w:t>
      </w:r>
      <w:proofErr w:type="spellEnd"/>
      <w:r>
        <w:t xml:space="preserve"> similar a la del ejercicio 5. Car</w:t>
      </w:r>
      <w:r w:rsidR="00FE7A76">
        <w:t>g</w:t>
      </w:r>
      <w:r>
        <w:t xml:space="preserve">a la librería y utilízala para los mismos datos supuesto que la desviación típica de la diferencia es </w:t>
      </w:r>
      <w:r w:rsidR="00FE7A76">
        <w:t>1.58</w:t>
      </w:r>
    </w:p>
    <w:p w14:paraId="6EA33071" w14:textId="77777777" w:rsidR="006F23D0" w:rsidRDefault="006F23D0" w:rsidP="006F23D0">
      <w:pPr>
        <w:pStyle w:val="Prrafodelista"/>
        <w:numPr>
          <w:ilvl w:val="0"/>
          <w:numId w:val="1"/>
        </w:numPr>
      </w:pPr>
      <w:r>
        <w:t>Compara los resultados obtenidos y completa esta tabla: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122E22" w14:paraId="4B916D50" w14:textId="77777777" w:rsidTr="006F23D0">
        <w:tc>
          <w:tcPr>
            <w:tcW w:w="1415" w:type="dxa"/>
          </w:tcPr>
          <w:p w14:paraId="058642A2" w14:textId="77777777" w:rsidR="00122E22" w:rsidRDefault="00122E22" w:rsidP="00122E22"/>
        </w:tc>
        <w:tc>
          <w:tcPr>
            <w:tcW w:w="1415" w:type="dxa"/>
          </w:tcPr>
          <w:p w14:paraId="0AB703C4" w14:textId="77777777" w:rsidR="00122E22" w:rsidRDefault="00122E22" w:rsidP="00122E22">
            <w:proofErr w:type="spellStart"/>
            <w:r>
              <w:t>CotaInf</w:t>
            </w:r>
            <w:proofErr w:type="spellEnd"/>
            <w:r>
              <w:t xml:space="preserve"> 95%</w:t>
            </w:r>
          </w:p>
        </w:tc>
        <w:tc>
          <w:tcPr>
            <w:tcW w:w="1416" w:type="dxa"/>
          </w:tcPr>
          <w:p w14:paraId="2A18318C" w14:textId="77777777" w:rsidR="00122E22" w:rsidRDefault="00122E22" w:rsidP="00122E22">
            <w:proofErr w:type="spellStart"/>
            <w:r>
              <w:t>CotaSup</w:t>
            </w:r>
            <w:proofErr w:type="spellEnd"/>
            <w:r>
              <w:t xml:space="preserve"> 95%</w:t>
            </w:r>
          </w:p>
        </w:tc>
        <w:tc>
          <w:tcPr>
            <w:tcW w:w="1416" w:type="dxa"/>
          </w:tcPr>
          <w:p w14:paraId="7D319C4D" w14:textId="77777777" w:rsidR="00122E22" w:rsidRDefault="00122E22" w:rsidP="00122E22">
            <w:proofErr w:type="spellStart"/>
            <w:r>
              <w:t>CotaInf</w:t>
            </w:r>
            <w:proofErr w:type="spellEnd"/>
            <w:r>
              <w:t xml:space="preserve"> 99%</w:t>
            </w:r>
          </w:p>
        </w:tc>
        <w:tc>
          <w:tcPr>
            <w:tcW w:w="1416" w:type="dxa"/>
          </w:tcPr>
          <w:p w14:paraId="73462B02" w14:textId="77777777" w:rsidR="00122E22" w:rsidRDefault="00122E22" w:rsidP="00122E22">
            <w:proofErr w:type="spellStart"/>
            <w:r>
              <w:t>CotaSup</w:t>
            </w:r>
            <w:proofErr w:type="spellEnd"/>
            <w:r>
              <w:t xml:space="preserve"> 99%</w:t>
            </w:r>
          </w:p>
        </w:tc>
        <w:tc>
          <w:tcPr>
            <w:tcW w:w="1416" w:type="dxa"/>
          </w:tcPr>
          <w:p w14:paraId="65ECE170" w14:textId="77777777" w:rsidR="00122E22" w:rsidRDefault="00122E22" w:rsidP="00122E22">
            <w:r>
              <w:t>p-valor</w:t>
            </w:r>
            <w:r w:rsidR="00FE7A76">
              <w:t xml:space="preserve"> </w:t>
            </w:r>
          </w:p>
        </w:tc>
      </w:tr>
      <w:tr w:rsidR="0055456D" w:rsidRPr="0055456D" w14:paraId="3F21B613" w14:textId="77777777" w:rsidTr="006F23D0">
        <w:tc>
          <w:tcPr>
            <w:tcW w:w="1415" w:type="dxa"/>
          </w:tcPr>
          <w:p w14:paraId="251B77EC" w14:textId="77777777" w:rsidR="006F23D0" w:rsidRDefault="00122E22" w:rsidP="00C12457">
            <w:proofErr w:type="spellStart"/>
            <w:r>
              <w:t>ICalfa</w:t>
            </w:r>
            <w:proofErr w:type="spellEnd"/>
          </w:p>
        </w:tc>
        <w:tc>
          <w:tcPr>
            <w:tcW w:w="1415" w:type="dxa"/>
          </w:tcPr>
          <w:p w14:paraId="29D454C1" w14:textId="17CD4F64" w:rsidR="006F23D0" w:rsidRPr="0055456D" w:rsidRDefault="006E2697" w:rsidP="006E269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5B9BD5" w:themeColor="accent1"/>
              </w:rPr>
            </w:pPr>
            <w:r w:rsidRPr="0055456D">
              <w:rPr>
                <w:rStyle w:val="gd15mcfceub"/>
                <w:rFonts w:ascii="Lucida Console" w:hAnsi="Lucida Console"/>
                <w:color w:val="5B9BD5" w:themeColor="accent1"/>
                <w:bdr w:val="none" w:sz="0" w:space="0" w:color="auto" w:frame="1"/>
              </w:rPr>
              <w:t>0.3712708</w:t>
            </w:r>
          </w:p>
        </w:tc>
        <w:tc>
          <w:tcPr>
            <w:tcW w:w="1416" w:type="dxa"/>
          </w:tcPr>
          <w:p w14:paraId="51C4368C" w14:textId="7485A62C" w:rsidR="006F23D0" w:rsidRPr="0055456D" w:rsidRDefault="006E2697" w:rsidP="006E269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5B9BD5" w:themeColor="accent1"/>
              </w:rPr>
            </w:pPr>
            <w:r w:rsidRPr="0055456D">
              <w:rPr>
                <w:rStyle w:val="gd15mcfceub"/>
                <w:rFonts w:ascii="Lucida Console" w:hAnsi="Lucida Console"/>
                <w:color w:val="5B9BD5" w:themeColor="accent1"/>
                <w:bdr w:val="none" w:sz="0" w:space="0" w:color="auto" w:frame="1"/>
              </w:rPr>
              <w:t>1.00538</w:t>
            </w:r>
          </w:p>
        </w:tc>
        <w:tc>
          <w:tcPr>
            <w:tcW w:w="1416" w:type="dxa"/>
          </w:tcPr>
          <w:p w14:paraId="6F6D68CE" w14:textId="039C9353" w:rsidR="006F23D0" w:rsidRPr="0055456D" w:rsidRDefault="006E2697" w:rsidP="006E269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5B9BD5" w:themeColor="accent1"/>
              </w:rPr>
            </w:pPr>
            <w:r w:rsidRPr="0055456D">
              <w:rPr>
                <w:rStyle w:val="gd15mcfceub"/>
                <w:rFonts w:ascii="Lucida Console" w:hAnsi="Lucida Console"/>
                <w:color w:val="5B9BD5" w:themeColor="accent1"/>
                <w:bdr w:val="none" w:sz="0" w:space="0" w:color="auto" w:frame="1"/>
              </w:rPr>
              <w:t>0.2686567</w:t>
            </w:r>
          </w:p>
        </w:tc>
        <w:tc>
          <w:tcPr>
            <w:tcW w:w="1416" w:type="dxa"/>
          </w:tcPr>
          <w:p w14:paraId="535A9FC5" w14:textId="39B5ED5D" w:rsidR="006F23D0" w:rsidRPr="0055456D" w:rsidRDefault="006E2697" w:rsidP="006E26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lang w:eastAsia="es-ES"/>
              </w:rPr>
            </w:pPr>
            <w:r w:rsidRPr="006E2697"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s-ES"/>
              </w:rPr>
              <w:t>1.107994</w:t>
            </w:r>
          </w:p>
        </w:tc>
        <w:tc>
          <w:tcPr>
            <w:tcW w:w="1416" w:type="dxa"/>
          </w:tcPr>
          <w:p w14:paraId="56B02900" w14:textId="77777777" w:rsidR="006F23D0" w:rsidRPr="0055456D" w:rsidRDefault="00122E22" w:rsidP="00C12457">
            <w:pPr>
              <w:rPr>
                <w:color w:val="5B9BD5" w:themeColor="accent1"/>
              </w:rPr>
            </w:pPr>
            <w:r w:rsidRPr="0055456D">
              <w:rPr>
                <w:color w:val="5B9BD5" w:themeColor="accent1"/>
              </w:rPr>
              <w:t>---------------</w:t>
            </w:r>
          </w:p>
        </w:tc>
      </w:tr>
      <w:tr w:rsidR="0055456D" w:rsidRPr="0055456D" w14:paraId="66046F4F" w14:textId="77777777" w:rsidTr="006F23D0">
        <w:tc>
          <w:tcPr>
            <w:tcW w:w="1415" w:type="dxa"/>
          </w:tcPr>
          <w:p w14:paraId="0B52BEE9" w14:textId="77777777" w:rsidR="006F23D0" w:rsidRDefault="00122E22" w:rsidP="00C12457">
            <w:proofErr w:type="spellStart"/>
            <w:r>
              <w:t>t.test</w:t>
            </w:r>
            <w:proofErr w:type="spellEnd"/>
          </w:p>
        </w:tc>
        <w:tc>
          <w:tcPr>
            <w:tcW w:w="1415" w:type="dxa"/>
          </w:tcPr>
          <w:p w14:paraId="0072B97B" w14:textId="7D5C3222" w:rsidR="006F23D0" w:rsidRPr="0055456D" w:rsidRDefault="006E2697" w:rsidP="006E269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5B9BD5" w:themeColor="accent1"/>
              </w:rPr>
            </w:pPr>
            <w:r w:rsidRPr="0055456D">
              <w:rPr>
                <w:rStyle w:val="gd15mcfceub"/>
                <w:rFonts w:ascii="Lucida Console" w:hAnsi="Lucida Console"/>
                <w:color w:val="5B9BD5" w:themeColor="accent1"/>
                <w:bdr w:val="none" w:sz="0" w:space="0" w:color="auto" w:frame="1"/>
              </w:rPr>
              <w:t>0.6786235</w:t>
            </w:r>
          </w:p>
        </w:tc>
        <w:tc>
          <w:tcPr>
            <w:tcW w:w="1416" w:type="dxa"/>
          </w:tcPr>
          <w:p w14:paraId="4C424613" w14:textId="6CDD7FD7" w:rsidR="006F23D0" w:rsidRPr="0055456D" w:rsidRDefault="006E2697" w:rsidP="006E269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5B9BD5" w:themeColor="accent1"/>
              </w:rPr>
            </w:pPr>
            <w:r w:rsidRPr="0055456D">
              <w:rPr>
                <w:rStyle w:val="gd15mcfceub"/>
                <w:rFonts w:ascii="Lucida Console" w:hAnsi="Lucida Console"/>
                <w:color w:val="5B9BD5" w:themeColor="accent1"/>
                <w:bdr w:val="none" w:sz="0" w:space="0" w:color="auto" w:frame="1"/>
              </w:rPr>
              <w:t>0.6980268</w:t>
            </w:r>
          </w:p>
        </w:tc>
        <w:tc>
          <w:tcPr>
            <w:tcW w:w="1416" w:type="dxa"/>
          </w:tcPr>
          <w:p w14:paraId="25872F0E" w14:textId="581601D1" w:rsidR="006F23D0" w:rsidRPr="0055456D" w:rsidRDefault="006E2697" w:rsidP="006E269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5B9BD5" w:themeColor="accent1"/>
              </w:rPr>
            </w:pPr>
            <w:r w:rsidRPr="0055456D">
              <w:rPr>
                <w:rStyle w:val="gd15mcfceub"/>
                <w:rFonts w:ascii="Lucida Console" w:hAnsi="Lucida Console"/>
                <w:color w:val="5B9BD5" w:themeColor="accent1"/>
                <w:bdr w:val="none" w:sz="0" w:space="0" w:color="auto" w:frame="1"/>
              </w:rPr>
              <w:t>0.2843069</w:t>
            </w:r>
          </w:p>
        </w:tc>
        <w:tc>
          <w:tcPr>
            <w:tcW w:w="1416" w:type="dxa"/>
          </w:tcPr>
          <w:p w14:paraId="4E24FD75" w14:textId="399FD74B" w:rsidR="006F23D0" w:rsidRPr="0055456D" w:rsidRDefault="006E2697" w:rsidP="006E269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5B9BD5" w:themeColor="accent1"/>
              </w:rPr>
            </w:pPr>
            <w:r w:rsidRPr="0055456D">
              <w:rPr>
                <w:rStyle w:val="gd15mcfceub"/>
                <w:rFonts w:ascii="Lucida Console" w:hAnsi="Lucida Console"/>
                <w:color w:val="5B9BD5" w:themeColor="accent1"/>
                <w:bdr w:val="none" w:sz="0" w:space="0" w:color="auto" w:frame="1"/>
              </w:rPr>
              <w:t>1.0923434</w:t>
            </w:r>
          </w:p>
        </w:tc>
        <w:tc>
          <w:tcPr>
            <w:tcW w:w="1416" w:type="dxa"/>
          </w:tcPr>
          <w:p w14:paraId="7C1C5561" w14:textId="19F09BFC" w:rsidR="006F23D0" w:rsidRPr="0055456D" w:rsidRDefault="006E2697" w:rsidP="006E269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5B9BD5" w:themeColor="accent1"/>
              </w:rPr>
            </w:pPr>
            <w:r w:rsidRPr="0055456D">
              <w:rPr>
                <w:rStyle w:val="gd15mcfceub"/>
                <w:rFonts w:ascii="Lucida Console" w:hAnsi="Lucida Console"/>
                <w:color w:val="5B9BD5" w:themeColor="accent1"/>
                <w:bdr w:val="none" w:sz="0" w:space="0" w:color="auto" w:frame="1"/>
              </w:rPr>
              <w:t>1.85e-05</w:t>
            </w:r>
          </w:p>
        </w:tc>
      </w:tr>
      <w:tr w:rsidR="0055456D" w:rsidRPr="0055456D" w14:paraId="75A38F9F" w14:textId="77777777" w:rsidTr="006F23D0">
        <w:tc>
          <w:tcPr>
            <w:tcW w:w="1415" w:type="dxa"/>
          </w:tcPr>
          <w:p w14:paraId="532F1A51" w14:textId="77777777" w:rsidR="006F23D0" w:rsidRDefault="00122E22" w:rsidP="00C12457">
            <w:proofErr w:type="spellStart"/>
            <w:r>
              <w:t>z.test</w:t>
            </w:r>
            <w:proofErr w:type="spellEnd"/>
          </w:p>
        </w:tc>
        <w:tc>
          <w:tcPr>
            <w:tcW w:w="1415" w:type="dxa"/>
          </w:tcPr>
          <w:p w14:paraId="51116F7D" w14:textId="73DCF157" w:rsidR="006F23D0" w:rsidRPr="0055456D" w:rsidRDefault="006E2697" w:rsidP="006E269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5B9BD5" w:themeColor="accent1"/>
              </w:rPr>
            </w:pPr>
            <w:r w:rsidRPr="0055456D">
              <w:rPr>
                <w:rStyle w:val="gd15mcfceub"/>
                <w:rFonts w:ascii="Lucida Console" w:hAnsi="Lucida Console"/>
                <w:color w:val="5B9BD5" w:themeColor="accent1"/>
                <w:bdr w:val="none" w:sz="0" w:space="0" w:color="auto" w:frame="1"/>
              </w:rPr>
              <w:t>34.31235</w:t>
            </w:r>
          </w:p>
        </w:tc>
        <w:tc>
          <w:tcPr>
            <w:tcW w:w="1416" w:type="dxa"/>
          </w:tcPr>
          <w:p w14:paraId="24EEF4FD" w14:textId="37C125F8" w:rsidR="006F23D0" w:rsidRPr="0055456D" w:rsidRDefault="006E2697" w:rsidP="006E269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5B9BD5" w:themeColor="accent1"/>
              </w:rPr>
            </w:pPr>
            <w:r w:rsidRPr="0055456D">
              <w:rPr>
                <w:rStyle w:val="gd15mcfceub"/>
                <w:rFonts w:ascii="Lucida Console" w:hAnsi="Lucida Console"/>
                <w:color w:val="5B9BD5" w:themeColor="accent1"/>
                <w:bdr w:val="none" w:sz="0" w:space="0" w:color="auto" w:frame="1"/>
              </w:rPr>
              <w:t>34.93170</w:t>
            </w:r>
          </w:p>
        </w:tc>
        <w:tc>
          <w:tcPr>
            <w:tcW w:w="1416" w:type="dxa"/>
          </w:tcPr>
          <w:p w14:paraId="7E395AEF" w14:textId="525BF8F3" w:rsidR="006F23D0" w:rsidRPr="0055456D" w:rsidRDefault="006E2697" w:rsidP="006E269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5B9BD5" w:themeColor="accent1"/>
              </w:rPr>
            </w:pPr>
            <w:r w:rsidRPr="0055456D">
              <w:rPr>
                <w:rStyle w:val="gd15mcfceub"/>
                <w:rFonts w:ascii="Lucida Console" w:hAnsi="Lucida Console"/>
                <w:color w:val="5B9BD5" w:themeColor="accent1"/>
                <w:bdr w:val="none" w:sz="0" w:space="0" w:color="auto" w:frame="1"/>
              </w:rPr>
              <w:t>34.2150</w:t>
            </w:r>
          </w:p>
        </w:tc>
        <w:tc>
          <w:tcPr>
            <w:tcW w:w="1416" w:type="dxa"/>
          </w:tcPr>
          <w:p w14:paraId="79627889" w14:textId="42C9CC49" w:rsidR="006F23D0" w:rsidRPr="0055456D" w:rsidRDefault="006E2697" w:rsidP="006E269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5B9BD5" w:themeColor="accent1"/>
              </w:rPr>
            </w:pPr>
            <w:r w:rsidRPr="0055456D">
              <w:rPr>
                <w:rStyle w:val="gd15mcfceub"/>
                <w:rFonts w:ascii="Lucida Console" w:hAnsi="Lucida Console"/>
                <w:color w:val="5B9BD5" w:themeColor="accent1"/>
                <w:bdr w:val="none" w:sz="0" w:space="0" w:color="auto" w:frame="1"/>
              </w:rPr>
              <w:t>35.02900</w:t>
            </w:r>
          </w:p>
        </w:tc>
        <w:tc>
          <w:tcPr>
            <w:tcW w:w="1416" w:type="dxa"/>
          </w:tcPr>
          <w:p w14:paraId="51B70765" w14:textId="582DBF97" w:rsidR="006F23D0" w:rsidRPr="0055456D" w:rsidRDefault="006E2697" w:rsidP="006E269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5B9BD5" w:themeColor="accent1"/>
              </w:rPr>
            </w:pPr>
            <w:r w:rsidRPr="0055456D">
              <w:rPr>
                <w:rStyle w:val="gd15mcfceub"/>
                <w:rFonts w:ascii="Lucida Console" w:hAnsi="Lucida Console"/>
                <w:color w:val="5B9BD5" w:themeColor="accent1"/>
                <w:bdr w:val="none" w:sz="0" w:space="0" w:color="auto" w:frame="1"/>
              </w:rPr>
              <w:t>&lt; 2.2e-16</w:t>
            </w:r>
          </w:p>
        </w:tc>
      </w:tr>
    </w:tbl>
    <w:p w14:paraId="1EC9B01D" w14:textId="77777777" w:rsidR="00C12457" w:rsidRDefault="00C12457" w:rsidP="00C12457"/>
    <w:p w14:paraId="3A760AFF" w14:textId="7E239083" w:rsidR="00C12457" w:rsidRDefault="00122E22" w:rsidP="00122E22">
      <w:pPr>
        <w:pStyle w:val="Prrafodelista"/>
        <w:numPr>
          <w:ilvl w:val="0"/>
          <w:numId w:val="1"/>
        </w:numPr>
      </w:pPr>
      <w:r>
        <w:t>¿Qué crees que significa el p-valor?</w:t>
      </w:r>
    </w:p>
    <w:p w14:paraId="356BDFCF" w14:textId="7A086098" w:rsidR="006E2697" w:rsidRPr="00C12457" w:rsidRDefault="006E2697" w:rsidP="006E2697">
      <w:pPr>
        <w:pStyle w:val="Prrafodelista"/>
      </w:pPr>
      <w:r w:rsidRPr="0055456D">
        <w:rPr>
          <w:color w:val="5B9BD5" w:themeColor="accent1"/>
        </w:rPr>
        <w:t xml:space="preserve">Lo que nos aporta el p-valor es la probabilidad mínima de rechazar </w:t>
      </w:r>
      <w:proofErr w:type="gramStart"/>
      <w:r w:rsidRPr="0055456D">
        <w:rPr>
          <w:color w:val="5B9BD5" w:themeColor="accent1"/>
        </w:rPr>
        <w:t>Ho(</w:t>
      </w:r>
      <w:proofErr w:type="gramEnd"/>
      <w:r w:rsidRPr="0055456D">
        <w:rPr>
          <w:color w:val="5B9BD5" w:themeColor="accent1"/>
        </w:rPr>
        <w:t xml:space="preserve">La primera </w:t>
      </w:r>
      <w:proofErr w:type="spellStart"/>
      <w:r w:rsidRPr="0055456D">
        <w:rPr>
          <w:color w:val="5B9BD5" w:themeColor="accent1"/>
        </w:rPr>
        <w:t>hipótesis</w:t>
      </w:r>
      <w:proofErr w:type="spellEnd"/>
      <w:r>
        <w:t>).</w:t>
      </w:r>
    </w:p>
    <w:sectPr w:rsidR="006E2697" w:rsidRPr="00C12457" w:rsidSect="008C44B7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D0233"/>
    <w:multiLevelType w:val="hybridMultilevel"/>
    <w:tmpl w:val="CA327572"/>
    <w:lvl w:ilvl="0" w:tplc="E986456C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2A7C79"/>
    <w:multiLevelType w:val="hybridMultilevel"/>
    <w:tmpl w:val="59F6AD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E2A8A"/>
    <w:multiLevelType w:val="hybridMultilevel"/>
    <w:tmpl w:val="3E4437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042"/>
    <w:rsid w:val="00037E02"/>
    <w:rsid w:val="000D5BC3"/>
    <w:rsid w:val="00122E22"/>
    <w:rsid w:val="00265C75"/>
    <w:rsid w:val="00353335"/>
    <w:rsid w:val="00433B00"/>
    <w:rsid w:val="0055456D"/>
    <w:rsid w:val="006160DE"/>
    <w:rsid w:val="006E2697"/>
    <w:rsid w:val="006F23D0"/>
    <w:rsid w:val="007B6799"/>
    <w:rsid w:val="00814BAA"/>
    <w:rsid w:val="00830AA2"/>
    <w:rsid w:val="008C44B7"/>
    <w:rsid w:val="008E5108"/>
    <w:rsid w:val="0099213C"/>
    <w:rsid w:val="00996042"/>
    <w:rsid w:val="00B147F4"/>
    <w:rsid w:val="00B74DE9"/>
    <w:rsid w:val="00B77777"/>
    <w:rsid w:val="00BE58DA"/>
    <w:rsid w:val="00BF0D2A"/>
    <w:rsid w:val="00C12457"/>
    <w:rsid w:val="00C4119A"/>
    <w:rsid w:val="00D86E15"/>
    <w:rsid w:val="00F1706B"/>
    <w:rsid w:val="00FA3D2E"/>
    <w:rsid w:val="00FE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5C5D"/>
  <w15:chartTrackingRefBased/>
  <w15:docId w15:val="{B80F6252-95D4-4AE9-BA1D-6250261D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6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0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960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2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E2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E269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d15mcfceub">
    <w:name w:val="gd15mcfceub"/>
    <w:basedOn w:val="Fuentedeprrafopredeter"/>
    <w:rsid w:val="006E2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Lopez</dc:creator>
  <cp:keywords/>
  <dc:description/>
  <cp:lastModifiedBy>Gonzalo Sanz</cp:lastModifiedBy>
  <cp:revision>2</cp:revision>
  <dcterms:created xsi:type="dcterms:W3CDTF">2020-03-24T13:27:00Z</dcterms:created>
  <dcterms:modified xsi:type="dcterms:W3CDTF">2020-03-24T13:27:00Z</dcterms:modified>
</cp:coreProperties>
</file>