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4E79"/>
          <w:sz w:val="40"/>
          <w:szCs w:val="40"/>
        </w:rPr>
        <w:t xml:space="preserve">Coloquio de avance doctoral 2026</w:t>
      </w:r>
    </w:p>
    <w:p>
      <w:pPr>
        <w:spacing w:after="60"/>
      </w:pPr>
      <w:r>
        <w:rPr>
          <w:sz w:val="28"/>
          <w:szCs w:val="28"/>
        </w:rPr>
        <w:t xml:space="preserve">Estructura de la presentación (v2)</w:t>
      </w:r>
    </w:p>
    <w:p>
      <w:pPr>
        <w:pBdr>
          <w:bottom w:val="single" w:color="1F4E79" w:sz="8" w:space="4"/>
        </w:pBdr>
        <w:spacing w:after="240"/>
      </w:pPr>
      <w:r>
        <w:rPr>
          <w:color w:val="595959"/>
          <w:sz w:val="20"/>
          <w:szCs w:val="20"/>
        </w:rPr>
        <w:t xml:space="preserve">Gonzalo Torres Rosales · Doctorado en Sociología PUC · 26 de septiembre de 2026</w:t>
      </w:r>
    </w:p>
    <w:p>
      <w:pPr>
        <w:pStyle w:val="Heading1"/>
      </w:pPr>
      <w:r>
        <w:t xml:space="preserve">1. Propósito y formato</w:t>
      </w:r>
    </w:p>
    <w:p>
      <w:pPr>
        <w:spacing w:after="100"/>
      </w:pPr>
      <w:r>
        <w:t xml:space="preserve">Este documento fija la estructura de la presentación del coloquio de avance. Se basa en la propuesta de candidatura (enero de 2026), los comentarios de la comisión (marzo de 2026), la reformulación de agosto de 2026 y el estado actual de las carpetas Article1, Article2 y Art3.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79" w:color="auto" w:val="clear"/>
            <w:tcMar>
              <w:top w:type="dxa" w:w="60"/>
              <w:left w:type="dxa" w:w="100"/>
              <w:bottom w:type="dxa" w:w="60"/>
              <w:right w:type="dxa" w:w="100"/>
            </w:tcMar>
          </w:tcPr>
          <w:p>
            <w:r>
              <w:rPr>
                <w:b/>
                <w:bCs/>
                <w:color w:val="FFFFFF"/>
              </w:rPr>
              <w:t xml:space="preserve">Parámetro</w:t>
            </w:r>
          </w:p>
        </w:tc>
        <w:tc>
          <w:tcPr>
            <w:tcW w:type="dxa" w:w="6426"/>
            <w:shd w:fill="1F4E79" w:color="auto" w:val="clear"/>
            <w:tcMar>
              <w:top w:type="dxa" w:w="60"/>
              <w:left w:type="dxa" w:w="100"/>
              <w:bottom w:type="dxa" w:w="60"/>
              <w:right w:type="dxa" w:w="100"/>
            </w:tcMar>
          </w:tcPr>
          <w:p>
            <w:r>
              <w:rPr>
                <w:b/>
                <w:bCs/>
                <w:color w:val="FFFFFF"/>
              </w:rPr>
              <w:t xml:space="preserve">Definición</w:t>
            </w:r>
          </w:p>
        </w:tc>
      </w:tr>
      <w:tr>
        <w:trPr>
          <w:tblHeader w:val="false"/>
        </w:trPr>
        <w:tc>
          <w:tcPr>
            <w:tcW w:type="dxa" w:w="2600"/>
            <w:shd w:fill="DCE6F1" w:color="auto" w:val="clear"/>
            <w:tcMar>
              <w:top w:type="dxa" w:w="60"/>
              <w:left w:type="dxa" w:w="100"/>
              <w:bottom w:type="dxa" w:w="60"/>
              <w:right w:type="dxa" w:w="100"/>
            </w:tcMar>
          </w:tcPr>
          <w:p>
            <w:r>
              <w:rPr>
                <w:b/>
                <w:bCs/>
                <w:sz w:val="19"/>
                <w:szCs w:val="19"/>
              </w:rPr>
              <w:t xml:space="preserve">Duración</w:t>
            </w:r>
          </w:p>
        </w:tc>
        <w:tc>
          <w:tcPr>
            <w:tcW w:type="dxa" w:w="6426"/>
            <w:tcMar>
              <w:top w:type="dxa" w:w="60"/>
              <w:left w:type="dxa" w:w="100"/>
              <w:bottom w:type="dxa" w:w="60"/>
              <w:right w:type="dxa" w:w="100"/>
            </w:tcMar>
          </w:tcPr>
          <w:p>
            <w:r>
              <w:rPr>
                <w:b w:val="false"/>
                <w:bCs w:val="false"/>
                <w:sz w:val="19"/>
                <w:szCs w:val="19"/>
              </w:rPr>
              <w:t xml:space="preserve">~15 minutos de exposición</w:t>
            </w:r>
          </w:p>
        </w:tc>
      </w:tr>
      <w:tr>
        <w:trPr>
          <w:tblHeader w:val="false"/>
        </w:trPr>
        <w:tc>
          <w:tcPr>
            <w:tcW w:type="dxa" w:w="2600"/>
            <w:shd w:fill="DCE6F1" w:color="auto" w:val="clear"/>
            <w:tcMar>
              <w:top w:type="dxa" w:w="60"/>
              <w:left w:type="dxa" w:w="100"/>
              <w:bottom w:type="dxa" w:w="60"/>
              <w:right w:type="dxa" w:w="100"/>
            </w:tcMar>
          </w:tcPr>
          <w:p>
            <w:r>
              <w:rPr>
                <w:b/>
                <w:bCs/>
                <w:sz w:val="19"/>
                <w:szCs w:val="19"/>
              </w:rPr>
              <w:t xml:space="preserve">Idioma</w:t>
            </w:r>
          </w:p>
        </w:tc>
        <w:tc>
          <w:tcPr>
            <w:tcW w:type="dxa" w:w="6426"/>
            <w:tcMar>
              <w:top w:type="dxa" w:w="60"/>
              <w:left w:type="dxa" w:w="100"/>
              <w:bottom w:type="dxa" w:w="60"/>
              <w:right w:type="dxa" w:w="100"/>
            </w:tcMar>
          </w:tcPr>
          <w:p>
            <w:r>
              <w:rPr>
                <w:b w:val="false"/>
                <w:bCs w:val="false"/>
                <w:sz w:val="19"/>
                <w:szCs w:val="19"/>
              </w:rPr>
              <w:t xml:space="preserve">Español</w:t>
            </w:r>
          </w:p>
        </w:tc>
      </w:tr>
      <w:tr>
        <w:trPr>
          <w:tblHeader w:val="false"/>
        </w:trPr>
        <w:tc>
          <w:tcPr>
            <w:tcW w:type="dxa" w:w="2600"/>
            <w:shd w:fill="DCE6F1" w:color="auto" w:val="clear"/>
            <w:tcMar>
              <w:top w:type="dxa" w:w="60"/>
              <w:left w:type="dxa" w:w="100"/>
              <w:bottom w:type="dxa" w:w="60"/>
              <w:right w:type="dxa" w:w="100"/>
            </w:tcMar>
          </w:tcPr>
          <w:p>
            <w:r>
              <w:rPr>
                <w:b/>
                <w:bCs/>
                <w:sz w:val="19"/>
                <w:szCs w:val="19"/>
              </w:rPr>
              <w:t xml:space="preserve">Formato final</w:t>
            </w:r>
          </w:p>
        </w:tc>
        <w:tc>
          <w:tcPr>
            <w:tcW w:type="dxa" w:w="6426"/>
            <w:tcMar>
              <w:top w:type="dxa" w:w="60"/>
              <w:left w:type="dxa" w:w="100"/>
              <w:bottom w:type="dxa" w:w="60"/>
              <w:right w:type="dxa" w:w="100"/>
            </w:tcMar>
          </w:tcPr>
          <w:p>
            <w:r>
              <w:rPr>
                <w:b w:val="false"/>
                <w:bCs w:val="false"/>
                <w:sz w:val="19"/>
                <w:szCs w:val="19"/>
              </w:rPr>
              <w:t xml:space="preserve">Presentación HTML publicada en GitHub</w:t>
            </w:r>
          </w:p>
        </w:tc>
      </w:tr>
      <w:tr>
        <w:trPr>
          <w:tblHeader w:val="false"/>
        </w:trPr>
        <w:tc>
          <w:tcPr>
            <w:tcW w:type="dxa" w:w="2600"/>
            <w:shd w:fill="DCE6F1" w:color="auto" w:val="clear"/>
            <w:tcMar>
              <w:top w:type="dxa" w:w="60"/>
              <w:left w:type="dxa" w:w="100"/>
              <w:bottom w:type="dxa" w:w="60"/>
              <w:right w:type="dxa" w:w="100"/>
            </w:tcMar>
          </w:tcPr>
          <w:p>
            <w:r>
              <w:rPr>
                <w:b/>
                <w:bCs/>
                <w:sz w:val="19"/>
                <w:szCs w:val="19"/>
              </w:rPr>
              <w:t xml:space="preserve">Extensión</w:t>
            </w:r>
          </w:p>
        </w:tc>
        <w:tc>
          <w:tcPr>
            <w:tcW w:type="dxa" w:w="6426"/>
            <w:tcMar>
              <w:top w:type="dxa" w:w="60"/>
              <w:left w:type="dxa" w:w="100"/>
              <w:bottom w:type="dxa" w:w="60"/>
              <w:right w:type="dxa" w:w="100"/>
            </w:tcMar>
          </w:tcPr>
          <w:p>
            <w:r>
              <w:rPr>
                <w:b w:val="false"/>
                <w:bCs w:val="false"/>
                <w:sz w:val="19"/>
                <w:szCs w:val="19"/>
              </w:rPr>
              <w:t xml:space="preserve">16 láminas (0–15) + anexo de respaldo para preguntas</w:t>
            </w:r>
          </w:p>
        </w:tc>
      </w:tr>
    </w:tbl>
    <w:p>
      <w:pPr>
        <w:pStyle w:val="Heading1"/>
      </w:pPr>
      <w:r>
        <w:t xml:space="preserve">2. Hilo narrativo</w:t>
      </w:r>
    </w:p>
    <w:p>
      <w:pPr>
        <w:spacing w:after="100"/>
      </w:pPr>
      <w:r>
        <w:rPr>
          <w:i/>
          <w:iCs/>
        </w:rPr>
        <w:t xml:space="preserve">La candidatura proponía reconstruir la riqueza de los hogares para estudiar la seguridad económica. Al implementarla aprendimos que la imputación no sostiene inferencias sustantivas. La tesis se reorienta entonces hacia la</w:t>
      </w:r>
      <w:r>
        <w:t xml:space="preserve"> *</w:t>
      </w:r>
      <w:r>
        <w:rPr>
          <w:b/>
          <w:bCs/>
        </w:rPr>
        <w:t xml:space="preserve">inseguridad económica</w:t>
      </w:r>
      <w:r>
        <w:t xml:space="preserve">*</w:t>
      </w:r>
      <w:r>
        <w:rPr>
          <w:i/>
          <w:iCs/>
        </w:rPr>
        <w:t xml:space="preserve">, leída desde posiciones económicas complejas (ingreso, activos, ocupación/formalidad y su trayectoria), y sus huellas en el desarrollo infantil (Artículo 1), en las trayectorias educativas (Artículo 2) y en las trayectorias financieras del hogar (Artículo 3).</w:t>
      </w:r>
    </w:p>
    <w:p>
      <w:pPr>
        <w:pStyle w:val="Heading1"/>
      </w:pPr>
      <w:r>
        <w:t xml:space="preserve">3. Distribución del tiempo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626"/>
      </w:tblGrid>
      <w:tr>
        <w:trPr>
          <w:tblHeader/>
        </w:trPr>
        <w:tc>
          <w:tcPr>
            <w:tcW w:type="dxa" w:w="3400"/>
            <w:shd w:fill="1F4E79" w:color="auto" w:val="clear"/>
            <w:tcMar>
              <w:top w:type="dxa" w:w="60"/>
              <w:left w:type="dxa" w:w="100"/>
              <w:bottom w:type="dxa" w:w="60"/>
              <w:right w:type="dxa" w:w="100"/>
            </w:tcMar>
          </w:tcPr>
          <w:p>
            <w:r>
              <w:rPr>
                <w:b/>
                <w:bCs/>
                <w:color w:val="FFFFFF"/>
              </w:rPr>
              <w:t xml:space="preserve">Bloque</w:t>
            </w:r>
          </w:p>
        </w:tc>
        <w:tc>
          <w:tcPr>
            <w:tcW w:type="dxa" w:w="1500"/>
            <w:shd w:fill="1F4E79" w:color="auto" w:val="clear"/>
            <w:tcMar>
              <w:top w:type="dxa" w:w="60"/>
              <w:left w:type="dxa" w:w="100"/>
              <w:bottom w:type="dxa" w:w="60"/>
              <w:right w:type="dxa" w:w="100"/>
            </w:tcMar>
          </w:tcPr>
          <w:p>
            <w:r>
              <w:rPr>
                <w:b/>
                <w:bCs/>
                <w:color w:val="FFFFFF"/>
              </w:rPr>
              <w:t xml:space="preserve">Láminas</w:t>
            </w:r>
          </w:p>
        </w:tc>
        <w:tc>
          <w:tcPr>
            <w:tcW w:type="dxa" w:w="1500"/>
            <w:shd w:fill="1F4E79" w:color="auto" w:val="clear"/>
            <w:tcMar>
              <w:top w:type="dxa" w:w="60"/>
              <w:left w:type="dxa" w:w="100"/>
              <w:bottom w:type="dxa" w:w="60"/>
              <w:right w:type="dxa" w:w="100"/>
            </w:tcMar>
          </w:tcPr>
          <w:p>
            <w:r>
              <w:rPr>
                <w:b/>
                <w:bCs/>
                <w:color w:val="FFFFFF"/>
              </w:rPr>
              <w:t xml:space="preserve">Tiempo</w:t>
            </w:r>
          </w:p>
        </w:tc>
        <w:tc>
          <w:tcPr>
            <w:tcW w:type="dxa" w:w="2626"/>
            <w:shd w:fill="1F4E79" w:color="auto" w:val="clear"/>
            <w:tcMar>
              <w:top w:type="dxa" w:w="60"/>
              <w:left w:type="dxa" w:w="100"/>
              <w:bottom w:type="dxa" w:w="60"/>
              <w:right w:type="dxa" w:w="100"/>
            </w:tcMar>
          </w:tcPr>
          <w:p>
            <w:r>
              <w:rPr>
                <w:b/>
                <w:bCs/>
                <w:color w:val="FFFFFF"/>
              </w:rPr>
              <w:t xml:space="preserve">Énfasis</w:t>
            </w:r>
          </w:p>
        </w:tc>
      </w:tr>
      <w:tr>
        <w:trPr>
          <w:tblHeader w:val="false"/>
        </w:trPr>
        <w:tc>
          <w:tcPr>
            <w:tcW w:type="dxa" w:w="3400"/>
            <w:shd w:fill="DCE6F1" w:color="auto" w:val="clear"/>
            <w:tcMar>
              <w:top w:type="dxa" w:w="60"/>
              <w:left w:type="dxa" w:w="100"/>
              <w:bottom w:type="dxa" w:w="60"/>
              <w:right w:type="dxa" w:w="100"/>
            </w:tcMar>
          </w:tcPr>
          <w:p>
            <w:r>
              <w:rPr>
                <w:b/>
                <w:bCs/>
                <w:sz w:val="19"/>
                <w:szCs w:val="19"/>
              </w:rPr>
              <w:t xml:space="preserve">I. La tesis</w:t>
            </w:r>
          </w:p>
        </w:tc>
        <w:tc>
          <w:tcPr>
            <w:tcW w:type="dxa" w:w="1500"/>
            <w:tcMar>
              <w:top w:type="dxa" w:w="60"/>
              <w:left w:type="dxa" w:w="100"/>
              <w:bottom w:type="dxa" w:w="60"/>
              <w:right w:type="dxa" w:w="100"/>
            </w:tcMar>
          </w:tcPr>
          <w:p>
            <w:r>
              <w:rPr>
                <w:b w:val="false"/>
                <w:bCs w:val="false"/>
                <w:sz w:val="19"/>
                <w:szCs w:val="19"/>
              </w:rPr>
              <w:t xml:space="preserve">0–3</w:t>
            </w:r>
          </w:p>
        </w:tc>
        <w:tc>
          <w:tcPr>
            <w:tcW w:type="dxa" w:w="1500"/>
            <w:tcMar>
              <w:top w:type="dxa" w:w="60"/>
              <w:left w:type="dxa" w:w="100"/>
              <w:bottom w:type="dxa" w:w="60"/>
              <w:right w:type="dxa" w:w="100"/>
            </w:tcMar>
          </w:tcPr>
          <w:p>
            <w:r>
              <w:rPr>
                <w:b w:val="false"/>
                <w:bCs w:val="false"/>
                <w:sz w:val="19"/>
                <w:szCs w:val="19"/>
              </w:rPr>
              <w:t xml:space="preserve">~4 min</w:t>
            </w:r>
          </w:p>
        </w:tc>
        <w:tc>
          <w:tcPr>
            <w:tcW w:type="dxa" w:w="2626"/>
            <w:tcMar>
              <w:top w:type="dxa" w:w="60"/>
              <w:left w:type="dxa" w:w="100"/>
              <w:bottom w:type="dxa" w:w="60"/>
              <w:right w:type="dxa" w:w="100"/>
            </w:tcMar>
          </w:tcPr>
          <w:p>
            <w:r>
              <w:rPr>
                <w:b w:val="false"/>
                <w:bCs w:val="false"/>
                <w:sz w:val="19"/>
                <w:szCs w:val="19"/>
              </w:rPr>
              <w:t xml:space="preserve">Giro y pregunta general</w:t>
            </w:r>
          </w:p>
        </w:tc>
      </w:tr>
      <w:tr>
        <w:trPr>
          <w:tblHeader w:val="false"/>
        </w:trPr>
        <w:tc>
          <w:tcPr>
            <w:tcW w:type="dxa" w:w="3400"/>
            <w:shd w:fill="DCE6F1" w:color="auto" w:val="clear"/>
            <w:tcMar>
              <w:top w:type="dxa" w:w="60"/>
              <w:left w:type="dxa" w:w="100"/>
              <w:bottom w:type="dxa" w:w="60"/>
              <w:right w:type="dxa" w:w="100"/>
            </w:tcMar>
          </w:tcPr>
          <w:p>
            <w:r>
              <w:rPr>
                <w:b/>
                <w:bCs/>
                <w:sz w:val="19"/>
                <w:szCs w:val="19"/>
              </w:rPr>
              <w:t xml:space="preserve">II. Artículo 1</w:t>
            </w:r>
          </w:p>
        </w:tc>
        <w:tc>
          <w:tcPr>
            <w:tcW w:type="dxa" w:w="1500"/>
            <w:tcMar>
              <w:top w:type="dxa" w:w="60"/>
              <w:left w:type="dxa" w:w="100"/>
              <w:bottom w:type="dxa" w:w="60"/>
              <w:right w:type="dxa" w:w="100"/>
            </w:tcMar>
          </w:tcPr>
          <w:p>
            <w:r>
              <w:rPr>
                <w:b w:val="false"/>
                <w:bCs w:val="false"/>
                <w:sz w:val="19"/>
                <w:szCs w:val="19"/>
              </w:rPr>
              <w:t xml:space="preserve">4–9</w:t>
            </w:r>
          </w:p>
        </w:tc>
        <w:tc>
          <w:tcPr>
            <w:tcW w:type="dxa" w:w="1500"/>
            <w:tcMar>
              <w:top w:type="dxa" w:w="60"/>
              <w:left w:type="dxa" w:w="100"/>
              <w:bottom w:type="dxa" w:w="60"/>
              <w:right w:type="dxa" w:w="100"/>
            </w:tcMar>
          </w:tcPr>
          <w:p>
            <w:r>
              <w:rPr>
                <w:b w:val="false"/>
                <w:bCs w:val="false"/>
                <w:sz w:val="19"/>
                <w:szCs w:val="19"/>
              </w:rPr>
              <w:t xml:space="preserve">~6 min</w:t>
            </w:r>
          </w:p>
        </w:tc>
        <w:tc>
          <w:tcPr>
            <w:tcW w:type="dxa" w:w="2626"/>
            <w:tcMar>
              <w:top w:type="dxa" w:w="60"/>
              <w:left w:type="dxa" w:w="100"/>
              <w:bottom w:type="dxa" w:w="60"/>
              <w:right w:type="dxa" w:w="100"/>
            </w:tcMar>
          </w:tcPr>
          <w:p>
            <w:r>
              <w:rPr>
                <w:b w:val="false"/>
                <w:bCs w:val="false"/>
                <w:sz w:val="19"/>
                <w:szCs w:val="19"/>
              </w:rPr>
              <w:t xml:space="preserve">Resultados (más avanzado)</w:t>
            </w:r>
          </w:p>
        </w:tc>
      </w:tr>
      <w:tr>
        <w:trPr>
          <w:tblHeader w:val="false"/>
        </w:trPr>
        <w:tc>
          <w:tcPr>
            <w:tcW w:type="dxa" w:w="3400"/>
            <w:shd w:fill="DCE6F1" w:color="auto" w:val="clear"/>
            <w:tcMar>
              <w:top w:type="dxa" w:w="60"/>
              <w:left w:type="dxa" w:w="100"/>
              <w:bottom w:type="dxa" w:w="60"/>
              <w:right w:type="dxa" w:w="100"/>
            </w:tcMar>
          </w:tcPr>
          <w:p>
            <w:r>
              <w:rPr>
                <w:b/>
                <w:bCs/>
                <w:sz w:val="19"/>
                <w:szCs w:val="19"/>
              </w:rPr>
              <w:t xml:space="preserve">III. Artículo 2</w:t>
            </w:r>
          </w:p>
        </w:tc>
        <w:tc>
          <w:tcPr>
            <w:tcW w:type="dxa" w:w="1500"/>
            <w:tcMar>
              <w:top w:type="dxa" w:w="60"/>
              <w:left w:type="dxa" w:w="100"/>
              <w:bottom w:type="dxa" w:w="60"/>
              <w:right w:type="dxa" w:w="100"/>
            </w:tcMar>
          </w:tcPr>
          <w:p>
            <w:r>
              <w:rPr>
                <w:b w:val="false"/>
                <w:bCs w:val="false"/>
                <w:sz w:val="19"/>
                <w:szCs w:val="19"/>
              </w:rPr>
              <w:t xml:space="preserve">10–12</w:t>
            </w:r>
          </w:p>
        </w:tc>
        <w:tc>
          <w:tcPr>
            <w:tcW w:type="dxa" w:w="1500"/>
            <w:tcMar>
              <w:top w:type="dxa" w:w="60"/>
              <w:left w:type="dxa" w:w="100"/>
              <w:bottom w:type="dxa" w:w="60"/>
              <w:right w:type="dxa" w:w="100"/>
            </w:tcMar>
          </w:tcPr>
          <w:p>
            <w:r>
              <w:rPr>
                <w:b w:val="false"/>
                <w:bCs w:val="false"/>
                <w:sz w:val="19"/>
                <w:szCs w:val="19"/>
              </w:rPr>
              <w:t xml:space="preserve">~3 min</w:t>
            </w:r>
          </w:p>
        </w:tc>
        <w:tc>
          <w:tcPr>
            <w:tcW w:type="dxa" w:w="2626"/>
            <w:tcMar>
              <w:top w:type="dxa" w:w="60"/>
              <w:left w:type="dxa" w:w="100"/>
              <w:bottom w:type="dxa" w:w="60"/>
              <w:right w:type="dxa" w:w="100"/>
            </w:tcMar>
          </w:tcPr>
          <w:p>
            <w:r>
              <w:rPr>
                <w:b w:val="false"/>
                <w:bCs w:val="false"/>
                <w:sz w:val="19"/>
                <w:szCs w:val="19"/>
              </w:rPr>
              <w:t xml:space="preserve">Diseño</w:t>
            </w:r>
          </w:p>
        </w:tc>
      </w:tr>
      <w:tr>
        <w:trPr>
          <w:tblHeader w:val="false"/>
        </w:trPr>
        <w:tc>
          <w:tcPr>
            <w:tcW w:type="dxa" w:w="3400"/>
            <w:shd w:fill="DCE6F1" w:color="auto" w:val="clear"/>
            <w:tcMar>
              <w:top w:type="dxa" w:w="60"/>
              <w:left w:type="dxa" w:w="100"/>
              <w:bottom w:type="dxa" w:w="60"/>
              <w:right w:type="dxa" w:w="100"/>
            </w:tcMar>
          </w:tcPr>
          <w:p>
            <w:r>
              <w:rPr>
                <w:b/>
                <w:bCs/>
                <w:sz w:val="19"/>
                <w:szCs w:val="19"/>
              </w:rPr>
              <w:t xml:space="preserve">IV. Artículo 3</w:t>
            </w:r>
          </w:p>
        </w:tc>
        <w:tc>
          <w:tcPr>
            <w:tcW w:type="dxa" w:w="1500"/>
            <w:tcMar>
              <w:top w:type="dxa" w:w="60"/>
              <w:left w:type="dxa" w:w="100"/>
              <w:bottom w:type="dxa" w:w="60"/>
              <w:right w:type="dxa" w:w="100"/>
            </w:tcMar>
          </w:tcPr>
          <w:p>
            <w:r>
              <w:rPr>
                <w:b w:val="false"/>
                <w:bCs w:val="false"/>
                <w:sz w:val="19"/>
                <w:szCs w:val="19"/>
              </w:rPr>
              <w:t xml:space="preserve">13–14</w:t>
            </w:r>
          </w:p>
        </w:tc>
        <w:tc>
          <w:tcPr>
            <w:tcW w:type="dxa" w:w="1500"/>
            <w:tcMar>
              <w:top w:type="dxa" w:w="60"/>
              <w:left w:type="dxa" w:w="100"/>
              <w:bottom w:type="dxa" w:w="60"/>
              <w:right w:type="dxa" w:w="100"/>
            </w:tcMar>
          </w:tcPr>
          <w:p>
            <w:r>
              <w:rPr>
                <w:b w:val="false"/>
                <w:bCs w:val="false"/>
                <w:sz w:val="19"/>
                <w:szCs w:val="19"/>
              </w:rPr>
              <w:t xml:space="preserve">~1,5 min</w:t>
            </w:r>
          </w:p>
        </w:tc>
        <w:tc>
          <w:tcPr>
            <w:tcW w:type="dxa" w:w="2626"/>
            <w:tcMar>
              <w:top w:type="dxa" w:w="60"/>
              <w:left w:type="dxa" w:w="100"/>
              <w:bottom w:type="dxa" w:w="60"/>
              <w:right w:type="dxa" w:w="100"/>
            </w:tcMar>
          </w:tcPr>
          <w:p>
            <w:r>
              <w:rPr>
                <w:b w:val="false"/>
                <w:bCs w:val="false"/>
                <w:sz w:val="19"/>
                <w:szCs w:val="19"/>
              </w:rPr>
              <w:t xml:space="preserve">Idea y diseño inicial</w:t>
            </w:r>
          </w:p>
        </w:tc>
      </w:tr>
      <w:tr>
        <w:trPr>
          <w:tblHeader w:val="false"/>
        </w:trPr>
        <w:tc>
          <w:tcPr>
            <w:tcW w:type="dxa" w:w="3400"/>
            <w:shd w:fill="DCE6F1" w:color="auto" w:val="clear"/>
            <w:tcMar>
              <w:top w:type="dxa" w:w="60"/>
              <w:left w:type="dxa" w:w="100"/>
              <w:bottom w:type="dxa" w:w="60"/>
              <w:right w:type="dxa" w:w="100"/>
            </w:tcMar>
          </w:tcPr>
          <w:p>
            <w:r>
              <w:rPr>
                <w:b/>
                <w:bCs/>
                <w:sz w:val="19"/>
                <w:szCs w:val="19"/>
              </w:rPr>
              <w:t xml:space="preserve">V. Cierre</w:t>
            </w:r>
          </w:p>
        </w:tc>
        <w:tc>
          <w:tcPr>
            <w:tcW w:type="dxa" w:w="1500"/>
            <w:tcMar>
              <w:top w:type="dxa" w:w="60"/>
              <w:left w:type="dxa" w:w="100"/>
              <w:bottom w:type="dxa" w:w="60"/>
              <w:right w:type="dxa" w:w="100"/>
            </w:tcMar>
          </w:tcPr>
          <w:p>
            <w:r>
              <w:rPr>
                <w:b w:val="false"/>
                <w:bCs w:val="false"/>
                <w:sz w:val="19"/>
                <w:szCs w:val="19"/>
              </w:rPr>
              <w:t xml:space="preserve">15</w:t>
            </w:r>
          </w:p>
        </w:tc>
        <w:tc>
          <w:tcPr>
            <w:tcW w:type="dxa" w:w="1500"/>
            <w:tcMar>
              <w:top w:type="dxa" w:w="60"/>
              <w:left w:type="dxa" w:w="100"/>
              <w:bottom w:type="dxa" w:w="60"/>
              <w:right w:type="dxa" w:w="100"/>
            </w:tcMar>
          </w:tcPr>
          <w:p>
            <w:r>
              <w:rPr>
                <w:b w:val="false"/>
                <w:bCs w:val="false"/>
                <w:sz w:val="19"/>
                <w:szCs w:val="19"/>
              </w:rPr>
              <w:t xml:space="preserve">~0,5 min</w:t>
            </w:r>
          </w:p>
        </w:tc>
        <w:tc>
          <w:tcPr>
            <w:tcW w:type="dxa" w:w="2626"/>
            <w:tcMar>
              <w:top w:type="dxa" w:w="60"/>
              <w:left w:type="dxa" w:w="100"/>
              <w:bottom w:type="dxa" w:w="60"/>
              <w:right w:type="dxa" w:w="100"/>
            </w:tcMar>
          </w:tcPr>
          <w:p>
            <w:r>
              <w:rPr>
                <w:b w:val="false"/>
                <w:bCs w:val="false"/>
                <w:sz w:val="19"/>
                <w:szCs w:val="19"/>
              </w:rPr>
              <w:t xml:space="preserve">Síntesis y preguntas</w:t>
            </w:r>
          </w:p>
        </w:tc>
      </w:tr>
    </w:tbl>
    <w:p>
      <w:pPr>
        <w:pStyle w:val="Heading1"/>
      </w:pPr>
      <w:r>
        <w:t xml:space="preserve">4. Estructura lámina por lámina</w:t>
      </w:r>
    </w:p>
    <w:p>
      <w:pPr>
        <w:pStyle w:val="Heading1"/>
        <w:spacing w:before="120"/>
      </w:pPr>
      <w:r>
        <w:rPr>
          <w:sz w:val="26"/>
          <w:szCs w:val="26"/>
        </w:rPr>
        <w:t xml:space="preserve">Bloque I — La tesis</w:t>
      </w:r>
    </w:p>
    <w:p>
      <w:pPr>
        <w:pStyle w:val="Heading2"/>
      </w:pPr>
      <w:r>
        <w:t xml:space="preserve">Lámina 0 · Portada</w:t>
      </w:r>
    </w:p>
    <w:p>
      <w:pPr>
        <w:pStyle w:val="ListParagraph"/>
        <w:numPr>
          <w:ilvl w:val="0"/>
          <w:numId w:val="2"/>
        </w:numPr>
        <w:spacing w:after="60"/>
      </w:pPr>
      <w:r>
        <w:t xml:space="preserve">Título de tesis actualizado (por definir). Tentativo: </w:t>
      </w:r>
      <w:r>
        <w:rPr>
          <w:i/>
          <w:iCs/>
        </w:rPr>
        <w:t xml:space="preserve">Inseguridad económica y desigualdad: posiciones económicas de los hogares y trayectorias de desarrollo en Chile.</w:t>
      </w:r>
    </w:p>
    <w:p>
      <w:pPr>
        <w:pStyle w:val="ListParagraph"/>
        <w:numPr>
          <w:ilvl w:val="0"/>
          <w:numId w:val="2"/>
        </w:numPr>
        <w:spacing w:after="60"/>
      </w:pPr>
      <w:r>
        <w:t xml:space="preserve">Nombre, programa, comisión y fecha.</w:t>
      </w:r>
    </w:p>
    <w:p>
      <w:pPr>
        <w:pStyle w:val="Heading2"/>
      </w:pPr>
      <w:r>
        <w:t xml:space="preserve">Lámina 1 · De la candidatura a hoy</w:t>
      </w:r>
    </w:p>
    <w:p>
      <w:pPr>
        <w:spacing w:after="80"/>
      </w:pPr>
      <w:r>
        <w:rPr>
          <w:i/>
          <w:iCs/>
          <w:color w:val="595959"/>
          <w:sz w:val="18"/>
          <w:szCs w:val="18"/>
        </w:rPr>
        <w:t xml:space="preserve">~1,5 min · formato de dos columnas: antes | ahora</w:t>
      </w:r>
    </w:p>
    <w:p>
      <w:pPr>
        <w:pStyle w:val="ListParagraph"/>
        <w:numPr>
          <w:ilvl w:val="0"/>
          <w:numId w:val="2"/>
        </w:numPr>
        <w:spacing w:after="60"/>
      </w:pPr>
      <w:r>
        <w:rPr>
          <w:b/>
          <w:bCs/>
        </w:rPr>
        <w:t xml:space="preserve">Antes (enero de 2026):</w:t>
      </w:r>
      <w:r>
        <w:t xml:space="preserve"> la riqueza como infraestructura de seguridad; la imputación ML (EFH → CASEN → ADMIN) como base de los artículos 2 y 3.</w:t>
      </w:r>
    </w:p>
    <w:p>
      <w:pPr>
        <w:pStyle w:val="ListParagraph"/>
        <w:numPr>
          <w:ilvl w:val="0"/>
          <w:numId w:val="2"/>
        </w:numPr>
        <w:spacing w:after="60"/>
      </w:pPr>
      <w:r>
        <w:rPr>
          <w:b/>
          <w:bCs/>
        </w:rPr>
        <w:t xml:space="preserve">Advertencias de la comisión:</w:t>
      </w:r>
      <w:r>
        <w:t xml:space="preserve"> detalle de portafolio no alcanzable, endogeneidad del proxy y riqueza reducida a un escalar (Pfeffer y segundo evaluador).</w:t>
      </w:r>
    </w:p>
    <w:p>
      <w:pPr>
        <w:pStyle w:val="ListParagraph"/>
        <w:numPr>
          <w:ilvl w:val="0"/>
          <w:numId w:val="2"/>
        </w:numPr>
        <w:spacing w:after="60"/>
      </w:pPr>
      <w:r>
        <w:rPr>
          <w:b/>
          <w:bCs/>
        </w:rPr>
        <w:t xml:space="preserve">Lo que mostró la implementación:</w:t>
      </w:r>
      <w:r>
        <w:t xml:space="preserve"> al propagar la incertidumbre (100 imputaciones estocásticas), el efecto </w:t>
      </w:r>
      <w:r>
        <w:rPr>
          <w:i/>
          <w:iCs/>
        </w:rPr>
        <w:t xml:space="preserve">naive</w:t>
      </w:r>
      <w:r>
        <w:t xml:space="preserve"> era hasta ~90× mayor y con signo invertido en varios outcomes; con la incertidumbre propagada el resultado es nulo pero robusto.</w:t>
      </w:r>
    </w:p>
    <w:p>
      <w:pPr>
        <w:pStyle w:val="ListParagraph"/>
        <w:numPr>
          <w:ilvl w:val="0"/>
          <w:numId w:val="2"/>
        </w:numPr>
        <w:spacing w:after="60"/>
      </w:pPr>
      <w:r>
        <w:rPr>
          <w:b/>
          <w:bCs/>
        </w:rPr>
        <w:t xml:space="preserve">Decisión:</w:t>
      </w:r>
      <w:r>
        <w:t xml:space="preserve"> se abandona la imputación como eje de la tesis.</w:t>
      </w:r>
    </w:p>
    <w:p>
      <w:pPr>
        <w:pBdr>
          <w:left w:val="single" w:color="1F4E79" w:sz="12" w:space="8"/>
        </w:pBdr>
        <w:spacing w:after="160" w:before="60"/>
        <w:ind w:left="360"/>
      </w:pPr>
      <w:r>
        <w:rPr>
          <w:b/>
          <w:bCs/>
          <w:color w:val="1F4E79"/>
        </w:rPr>
        <w:t xml:space="preserve">Mensaje oral: </w:t>
      </w:r>
      <w:r>
        <w:t xml:space="preserve">la evidencia confirmó lo que la comisión anticipó, y eso ordenó el giro.</w:t>
      </w:r>
    </w:p>
    <w:p>
      <w:pPr>
        <w:pStyle w:val="Heading2"/>
      </w:pPr>
      <w:r>
        <w:t xml:space="preserve">Lámina 2 · La pregunta reformulada</w:t>
      </w:r>
    </w:p>
    <w:p>
      <w:pPr>
        <w:spacing w:after="80"/>
      </w:pPr>
      <w:r>
        <w:rPr>
          <w:i/>
          <w:iCs/>
          <w:color w:val="595959"/>
          <w:sz w:val="18"/>
          <w:szCs w:val="18"/>
        </w:rPr>
        <w:t xml:space="preserve">~1 min</w:t>
      </w:r>
    </w:p>
    <w:p>
      <w:pPr>
        <w:pStyle w:val="ListParagraph"/>
        <w:numPr>
          <w:ilvl w:val="0"/>
          <w:numId w:val="2"/>
        </w:numPr>
        <w:spacing w:after="60"/>
      </w:pPr>
      <w:r>
        <w:rPr>
          <w:i/>
          <w:iCs/>
        </w:rPr>
        <w:t xml:space="preserve">¿Cómo se relaciona la posición económica compleja de los hogares con la inseguridad económica, y cómo esta se traduce en desigualdades de desarrollo infantil y educativo?</w:t>
      </w:r>
    </w:p>
    <w:p>
      <w:pPr>
        <w:pStyle w:val="ListParagraph"/>
        <w:numPr>
          <w:ilvl w:val="0"/>
          <w:numId w:val="2"/>
        </w:numPr>
        <w:spacing w:after="60"/>
      </w:pPr>
      <w:r>
        <w:t xml:space="preserve">La inseguridad se lee en tres momentos: </w:t>
      </w:r>
      <w:r>
        <w:rPr>
          <w:b/>
          <w:bCs/>
        </w:rPr>
        <w:t xml:space="preserve">exposición</w:t>
      </w:r>
      <w:r>
        <w:t xml:space="preserve"> al shock (antes), </w:t>
      </w:r>
      <w:r>
        <w:rPr>
          <w:b/>
          <w:bCs/>
        </w:rPr>
        <w:t xml:space="preserve">amortiguación</w:t>
      </w:r>
      <w:r>
        <w:t xml:space="preserve"> (durante) y </w:t>
      </w:r>
      <w:r>
        <w:rPr>
          <w:b/>
          <w:bCs/>
        </w:rPr>
        <w:t xml:space="preserve">recomposición</w:t>
      </w:r>
      <w:r>
        <w:t xml:space="preserve"> (después).</w:t>
      </w:r>
    </w:p>
    <w:p>
      <w:pPr>
        <w:pStyle w:val="ListParagraph"/>
        <w:numPr>
          <w:ilvl w:val="0"/>
          <w:numId w:val="2"/>
        </w:numPr>
        <w:spacing w:after="60"/>
      </w:pPr>
      <w:r>
        <w:t xml:space="preserve">La posición económica es multidimensional: ingreso, activos, ocupación/formalidad y su trayectoria en el tiempo.</w:t>
      </w:r>
    </w:p>
    <w:p>
      <w:pPr>
        <w:pStyle w:val="Heading2"/>
      </w:pPr>
      <w:r>
        <w:t xml:space="preserve">Lámina 3 · Mapa de la tesis</w:t>
      </w:r>
    </w:p>
    <w:p>
      <w:pPr>
        <w:spacing w:after="80"/>
      </w:pPr>
      <w:r>
        <w:rPr>
          <w:i/>
          <w:iCs/>
          <w:color w:val="595959"/>
          <w:sz w:val="18"/>
          <w:szCs w:val="18"/>
        </w:rPr>
        <w:t xml:space="preserve">~1,5 min · tabla central de la presentación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8"/>
        <w:gridCol w:w="2409"/>
        <w:gridCol w:w="2409"/>
      </w:tblGrid>
      <w:tr>
        <w:trPr>
          <w:tblHeader/>
        </w:trPr>
        <w:tc>
          <w:tcPr>
            <w:tcW w:type="dxa" w:w="1800"/>
            <w:shd w:fill="1F4E79" w:color="auto" w:val="clear"/>
            <w:tcMar>
              <w:top w:type="dxa" w:w="60"/>
              <w:left w:type="dxa" w:w="100"/>
              <w:bottom w:type="dxa" w:w="60"/>
              <w:right w:type="dxa" w:w="100"/>
            </w:tcMar>
          </w:tcPr>
          <w:p>
            <w:r>
              <w:rPr>
                <w:b/>
                <w:bCs/>
                <w:color w:val="FFFFFF"/>
              </w:rPr>
              <w:t xml:space="preserve"/>
            </w:r>
          </w:p>
        </w:tc>
        <w:tc>
          <w:tcPr>
            <w:tcW w:type="dxa" w:w="2408"/>
            <w:shd w:fill="1F4E79" w:color="auto" w:val="clear"/>
            <w:tcMar>
              <w:top w:type="dxa" w:w="60"/>
              <w:left w:type="dxa" w:w="100"/>
              <w:bottom w:type="dxa" w:w="60"/>
              <w:right w:type="dxa" w:w="100"/>
            </w:tcMar>
          </w:tcPr>
          <w:p>
            <w:r>
              <w:rPr>
                <w:b/>
                <w:bCs/>
                <w:color w:val="FFFFFF"/>
              </w:rPr>
              <w:t xml:space="preserve">Artículo 1</w:t>
            </w:r>
          </w:p>
        </w:tc>
        <w:tc>
          <w:tcPr>
            <w:tcW w:type="dxa" w:w="2409"/>
            <w:shd w:fill="1F4E79" w:color="auto" w:val="clear"/>
            <w:tcMar>
              <w:top w:type="dxa" w:w="60"/>
              <w:left w:type="dxa" w:w="100"/>
              <w:bottom w:type="dxa" w:w="60"/>
              <w:right w:type="dxa" w:w="100"/>
            </w:tcMar>
          </w:tcPr>
          <w:p>
            <w:r>
              <w:rPr>
                <w:b/>
                <w:bCs/>
                <w:color w:val="FFFFFF"/>
              </w:rPr>
              <w:t xml:space="preserve">Artículo 2</w:t>
            </w:r>
          </w:p>
        </w:tc>
        <w:tc>
          <w:tcPr>
            <w:tcW w:type="dxa" w:w="2409"/>
            <w:shd w:fill="1F4E79" w:color="auto" w:val="clear"/>
            <w:tcMar>
              <w:top w:type="dxa" w:w="60"/>
              <w:left w:type="dxa" w:w="100"/>
              <w:bottom w:type="dxa" w:w="60"/>
              <w:right w:type="dxa" w:w="100"/>
            </w:tcMar>
          </w:tcPr>
          <w:p>
            <w:r>
              <w:rPr>
                <w:b/>
                <w:bCs/>
                <w:color w:val="FFFFFF"/>
              </w:rPr>
              <w:t xml:space="preserve">Artículo 3</w:t>
            </w:r>
          </w:p>
        </w:tc>
      </w:tr>
      <w:tr>
        <w:trPr>
          <w:tblHeader w:val="false"/>
        </w:trPr>
        <w:tc>
          <w:tcPr>
            <w:tcW w:type="dxa" w:w="1800"/>
            <w:shd w:fill="DCE6F1" w:color="auto" w:val="clear"/>
            <w:tcMar>
              <w:top w:type="dxa" w:w="60"/>
              <w:left w:type="dxa" w:w="100"/>
              <w:bottom w:type="dxa" w:w="60"/>
              <w:right w:type="dxa" w:w="100"/>
            </w:tcMar>
          </w:tcPr>
          <w:p>
            <w:r>
              <w:rPr>
                <w:b/>
                <w:bCs/>
                <w:sz w:val="19"/>
                <w:szCs w:val="19"/>
              </w:rPr>
              <w:t xml:space="preserve">Escala</w:t>
            </w:r>
          </w:p>
        </w:tc>
        <w:tc>
          <w:tcPr>
            <w:tcW w:type="dxa" w:w="2408"/>
            <w:tcMar>
              <w:top w:type="dxa" w:w="60"/>
              <w:left w:type="dxa" w:w="100"/>
              <w:bottom w:type="dxa" w:w="60"/>
              <w:right w:type="dxa" w:w="100"/>
            </w:tcMar>
          </w:tcPr>
          <w:p>
            <w:r>
              <w:rPr>
                <w:b w:val="false"/>
                <w:bCs w:val="false"/>
                <w:sz w:val="19"/>
                <w:szCs w:val="19"/>
              </w:rPr>
              <w:t xml:space="preserve">Hogar en el tiempo</w:t>
            </w:r>
          </w:p>
        </w:tc>
        <w:tc>
          <w:tcPr>
            <w:tcW w:type="dxa" w:w="2409"/>
            <w:tcMar>
              <w:top w:type="dxa" w:w="60"/>
              <w:left w:type="dxa" w:w="100"/>
              <w:bottom w:type="dxa" w:w="60"/>
              <w:right w:type="dxa" w:w="100"/>
            </w:tcMar>
          </w:tcPr>
          <w:p>
            <w:r>
              <w:rPr>
                <w:b w:val="false"/>
                <w:bCs w:val="false"/>
                <w:sz w:val="19"/>
                <w:szCs w:val="19"/>
              </w:rPr>
              <w:t xml:space="preserve">Hogar ↔ escuela</w:t>
            </w:r>
          </w:p>
        </w:tc>
        <w:tc>
          <w:tcPr>
            <w:tcW w:type="dxa" w:w="2409"/>
            <w:tcMar>
              <w:top w:type="dxa" w:w="60"/>
              <w:left w:type="dxa" w:w="100"/>
              <w:bottom w:type="dxa" w:w="60"/>
              <w:right w:type="dxa" w:w="100"/>
            </w:tcMar>
          </w:tcPr>
          <w:p>
            <w:r>
              <w:rPr>
                <w:b w:val="false"/>
                <w:bCs w:val="false"/>
                <w:sz w:val="19"/>
                <w:szCs w:val="19"/>
              </w:rPr>
              <w:t xml:space="preserve">Estructura financiera del hogar</w:t>
            </w:r>
          </w:p>
        </w:tc>
      </w:tr>
      <w:tr>
        <w:trPr>
          <w:tblHeader w:val="false"/>
        </w:trPr>
        <w:tc>
          <w:tcPr>
            <w:tcW w:type="dxa" w:w="1800"/>
            <w:shd w:fill="DCE6F1" w:color="auto" w:val="clear"/>
            <w:tcMar>
              <w:top w:type="dxa" w:w="60"/>
              <w:left w:type="dxa" w:w="100"/>
              <w:bottom w:type="dxa" w:w="60"/>
              <w:right w:type="dxa" w:w="100"/>
            </w:tcMar>
          </w:tcPr>
          <w:p>
            <w:r>
              <w:rPr>
                <w:b/>
                <w:bCs/>
                <w:sz w:val="19"/>
                <w:szCs w:val="19"/>
              </w:rPr>
              <w:t xml:space="preserve">Datos</w:t>
            </w:r>
          </w:p>
        </w:tc>
        <w:tc>
          <w:tcPr>
            <w:tcW w:type="dxa" w:w="2408"/>
            <w:tcMar>
              <w:top w:type="dxa" w:w="60"/>
              <w:left w:type="dxa" w:w="100"/>
              <w:bottom w:type="dxa" w:w="60"/>
              <w:right w:type="dxa" w:w="100"/>
            </w:tcMar>
          </w:tcPr>
          <w:p>
            <w:r>
              <w:rPr>
                <w:b w:val="false"/>
                <w:bCs w:val="false"/>
                <w:sz w:val="19"/>
                <w:szCs w:val="19"/>
              </w:rPr>
              <w:t xml:space="preserve">ELPI 2010–2024</w:t>
            </w:r>
          </w:p>
        </w:tc>
        <w:tc>
          <w:tcPr>
            <w:tcW w:type="dxa" w:w="2409"/>
            <w:tcMar>
              <w:top w:type="dxa" w:w="60"/>
              <w:left w:type="dxa" w:w="100"/>
              <w:bottom w:type="dxa" w:w="60"/>
              <w:right w:type="dxa" w:w="100"/>
            </w:tcMar>
          </w:tcPr>
          <w:p>
            <w:r>
              <w:rPr>
                <w:b w:val="false"/>
                <w:bCs w:val="false"/>
                <w:sz w:val="19"/>
                <w:szCs w:val="19"/>
              </w:rPr>
              <w:t xml:space="preserve">MINEDUC/CEM + SIMCE</w:t>
            </w:r>
          </w:p>
        </w:tc>
        <w:tc>
          <w:tcPr>
            <w:tcW w:type="dxa" w:w="2409"/>
            <w:tcMar>
              <w:top w:type="dxa" w:w="60"/>
              <w:left w:type="dxa" w:w="100"/>
              <w:bottom w:type="dxa" w:w="60"/>
              <w:right w:type="dxa" w:w="100"/>
            </w:tcMar>
          </w:tcPr>
          <w:p>
            <w:r>
              <w:rPr>
                <w:b w:val="false"/>
                <w:bCs w:val="false"/>
                <w:sz w:val="19"/>
                <w:szCs w:val="19"/>
              </w:rPr>
              <w:t xml:space="preserve">Panel EFH</w:t>
            </w:r>
          </w:p>
        </w:tc>
      </w:tr>
      <w:tr>
        <w:trPr>
          <w:tblHeader w:val="false"/>
        </w:trPr>
        <w:tc>
          <w:tcPr>
            <w:tcW w:type="dxa" w:w="1800"/>
            <w:shd w:fill="DCE6F1" w:color="auto" w:val="clear"/>
            <w:tcMar>
              <w:top w:type="dxa" w:w="60"/>
              <w:left w:type="dxa" w:w="100"/>
              <w:bottom w:type="dxa" w:w="60"/>
              <w:right w:type="dxa" w:w="100"/>
            </w:tcMar>
          </w:tcPr>
          <w:p>
            <w:r>
              <w:rPr>
                <w:b/>
                <w:bCs/>
                <w:sz w:val="19"/>
                <w:szCs w:val="19"/>
              </w:rPr>
              <w:t xml:space="preserve">Posición económica</w:t>
            </w:r>
          </w:p>
        </w:tc>
        <w:tc>
          <w:tcPr>
            <w:tcW w:type="dxa" w:w="2408"/>
            <w:tcMar>
              <w:top w:type="dxa" w:w="60"/>
              <w:left w:type="dxa" w:w="100"/>
              <w:bottom w:type="dxa" w:w="60"/>
              <w:right w:type="dxa" w:w="100"/>
            </w:tcMar>
          </w:tcPr>
          <w:p>
            <w:r>
              <w:rPr>
                <w:b w:val="false"/>
                <w:bCs w:val="false"/>
                <w:sz w:val="19"/>
                <w:szCs w:val="19"/>
              </w:rPr>
              <w:t xml:space="preserve">Trayectoria ocupacional, shocks de ingreso, activos</w:t>
            </w:r>
          </w:p>
        </w:tc>
        <w:tc>
          <w:tcPr>
            <w:tcW w:type="dxa" w:w="2409"/>
            <w:tcMar>
              <w:top w:type="dxa" w:w="60"/>
              <w:left w:type="dxa" w:w="100"/>
              <w:bottom w:type="dxa" w:w="60"/>
              <w:right w:type="dxa" w:w="100"/>
            </w:tcMar>
          </w:tcPr>
          <w:p>
            <w:r>
              <w:rPr>
                <w:b w:val="false"/>
                <w:bCs w:val="false"/>
                <w:sz w:val="19"/>
                <w:szCs w:val="19"/>
              </w:rPr>
              <w:t xml:space="preserve">Movilidad de dependencia como hecho económico</w:t>
            </w:r>
          </w:p>
        </w:tc>
        <w:tc>
          <w:tcPr>
            <w:tcW w:type="dxa" w:w="2409"/>
            <w:tcMar>
              <w:top w:type="dxa" w:w="60"/>
              <w:left w:type="dxa" w:w="100"/>
              <w:bottom w:type="dxa" w:w="60"/>
              <w:right w:type="dxa" w:w="100"/>
            </w:tcMar>
          </w:tcPr>
          <w:p>
            <w:r>
              <w:rPr>
                <w:b w:val="false"/>
                <w:bCs w:val="false"/>
                <w:sz w:val="19"/>
                <w:szCs w:val="19"/>
              </w:rPr>
              <w:t xml:space="preserve">Configuraciones de activos y deudas</w:t>
            </w:r>
          </w:p>
        </w:tc>
      </w:tr>
      <w:tr>
        <w:trPr>
          <w:tblHeader w:val="false"/>
        </w:trPr>
        <w:tc>
          <w:tcPr>
            <w:tcW w:type="dxa" w:w="1800"/>
            <w:shd w:fill="DCE6F1" w:color="auto" w:val="clear"/>
            <w:tcMar>
              <w:top w:type="dxa" w:w="60"/>
              <w:left w:type="dxa" w:w="100"/>
              <w:bottom w:type="dxa" w:w="60"/>
              <w:right w:type="dxa" w:w="100"/>
            </w:tcMar>
          </w:tcPr>
          <w:p>
            <w:r>
              <w:rPr>
                <w:b/>
                <w:bCs/>
                <w:sz w:val="19"/>
                <w:szCs w:val="19"/>
              </w:rPr>
              <w:t xml:space="preserve">Outcome</w:t>
            </w:r>
          </w:p>
        </w:tc>
        <w:tc>
          <w:tcPr>
            <w:tcW w:type="dxa" w:w="2408"/>
            <w:tcMar>
              <w:top w:type="dxa" w:w="60"/>
              <w:left w:type="dxa" w:w="100"/>
              <w:bottom w:type="dxa" w:w="60"/>
              <w:right w:type="dxa" w:w="100"/>
            </w:tcMar>
          </w:tcPr>
          <w:p>
            <w:r>
              <w:rPr>
                <w:b w:val="false"/>
                <w:bCs w:val="false"/>
                <w:sz w:val="19"/>
                <w:szCs w:val="19"/>
              </w:rPr>
              <w:t xml:space="preserve">Desarrollo cognitivo y socioemocional</w:t>
            </w:r>
          </w:p>
        </w:tc>
        <w:tc>
          <w:tcPr>
            <w:tcW w:type="dxa" w:w="2409"/>
            <w:tcMar>
              <w:top w:type="dxa" w:w="60"/>
              <w:left w:type="dxa" w:w="100"/>
              <w:bottom w:type="dxa" w:w="60"/>
              <w:right w:type="dxa" w:w="100"/>
            </w:tcMar>
          </w:tcPr>
          <w:p>
            <w:r>
              <w:rPr>
                <w:b w:val="false"/>
                <w:bCs w:val="false"/>
                <w:sz w:val="19"/>
                <w:szCs w:val="19"/>
              </w:rPr>
              <w:t xml:space="preserve">Expectativas y trayectoria educativa</w:t>
            </w:r>
          </w:p>
        </w:tc>
        <w:tc>
          <w:tcPr>
            <w:tcW w:type="dxa" w:w="2409"/>
            <w:tcMar>
              <w:top w:type="dxa" w:w="60"/>
              <w:left w:type="dxa" w:w="100"/>
              <w:bottom w:type="dxa" w:w="60"/>
              <w:right w:type="dxa" w:w="100"/>
            </w:tcMar>
          </w:tcPr>
          <w:p>
            <w:r>
              <w:rPr>
                <w:b w:val="false"/>
                <w:bCs w:val="false"/>
                <w:sz w:val="19"/>
                <w:szCs w:val="19"/>
              </w:rPr>
              <w:t xml:space="preserve">Trayectorias de (in)seguridad financiera</w:t>
            </w:r>
          </w:p>
        </w:tc>
      </w:tr>
      <w:tr>
        <w:trPr>
          <w:tblHeader w:val="false"/>
        </w:trPr>
        <w:tc>
          <w:tcPr>
            <w:tcW w:type="dxa" w:w="1800"/>
            <w:shd w:fill="DCE6F1" w:color="auto" w:val="clear"/>
            <w:tcMar>
              <w:top w:type="dxa" w:w="60"/>
              <w:left w:type="dxa" w:w="100"/>
              <w:bottom w:type="dxa" w:w="60"/>
              <w:right w:type="dxa" w:w="100"/>
            </w:tcMar>
          </w:tcPr>
          <w:p>
            <w:r>
              <w:rPr>
                <w:b/>
                <w:bCs/>
                <w:sz w:val="19"/>
                <w:szCs w:val="19"/>
              </w:rPr>
              <w:t xml:space="preserve">Estado</w:t>
            </w:r>
          </w:p>
        </w:tc>
        <w:tc>
          <w:tcPr>
            <w:tcW w:type="dxa" w:w="2408"/>
            <w:tcMar>
              <w:top w:type="dxa" w:w="60"/>
              <w:left w:type="dxa" w:w="100"/>
              <w:bottom w:type="dxa" w:w="60"/>
              <w:right w:type="dxa" w:w="100"/>
            </w:tcMar>
          </w:tcPr>
          <w:p>
            <w:r>
              <w:rPr>
                <w:b w:val="false"/>
                <w:bCs w:val="false"/>
                <w:sz w:val="19"/>
                <w:szCs w:val="19"/>
              </w:rPr>
              <w:t xml:space="preserve">Análisis completo; en redacción</w:t>
            </w:r>
          </w:p>
        </w:tc>
        <w:tc>
          <w:tcPr>
            <w:tcW w:type="dxa" w:w="2409"/>
            <w:tcMar>
              <w:top w:type="dxa" w:w="60"/>
              <w:left w:type="dxa" w:w="100"/>
              <w:bottom w:type="dxa" w:w="60"/>
              <w:right w:type="dxa" w:w="100"/>
            </w:tcMar>
          </w:tcPr>
          <w:p>
            <w:r>
              <w:rPr>
                <w:b w:val="false"/>
                <w:bCs w:val="false"/>
                <w:sz w:val="19"/>
                <w:szCs w:val="19"/>
              </w:rPr>
              <w:t xml:space="preserve">Diseño</w:t>
            </w:r>
          </w:p>
        </w:tc>
        <w:tc>
          <w:tcPr>
            <w:tcW w:type="dxa" w:w="2409"/>
            <w:tcMar>
              <w:top w:type="dxa" w:w="60"/>
              <w:left w:type="dxa" w:w="100"/>
              <w:bottom w:type="dxa" w:w="60"/>
              <w:right w:type="dxa" w:w="100"/>
            </w:tcMar>
          </w:tcPr>
          <w:p>
            <w:r>
              <w:rPr>
                <w:b w:val="false"/>
                <w:bCs w:val="false"/>
                <w:sz w:val="19"/>
                <w:szCs w:val="19"/>
              </w:rPr>
              <w:t xml:space="preserve">Idea y diseño inicial</w:t>
            </w:r>
          </w:p>
        </w:tc>
      </w:tr>
    </w:tbl>
    <w:p>
      <w:pPr>
        <w:pStyle w:val="Heading1"/>
        <w:spacing w:before="240"/>
      </w:pPr>
      <w:r>
        <w:rPr>
          <w:sz w:val="26"/>
          <w:szCs w:val="26"/>
        </w:rPr>
        <w:t xml:space="preserve">Bloque II — Artículo 1: trayectorias económicas del hogar y desarrollo infantil</w:t>
      </w:r>
    </w:p>
    <w:p>
      <w:pPr>
        <w:pStyle w:val="Heading2"/>
      </w:pPr>
      <w:r>
        <w:t xml:space="preserve">Lámina 4 · Pregunta, datos y antesala</w:t>
      </w:r>
    </w:p>
    <w:p>
      <w:pPr>
        <w:spacing w:after="80"/>
      </w:pPr>
      <w:r>
        <w:rPr>
          <w:i/>
          <w:iCs/>
          <w:color w:val="595959"/>
          <w:sz w:val="18"/>
          <w:szCs w:val="18"/>
        </w:rPr>
        <w:t xml:space="preserve">~1 min</w:t>
      </w:r>
    </w:p>
    <w:p>
      <w:pPr>
        <w:pStyle w:val="ListParagraph"/>
        <w:numPr>
          <w:ilvl w:val="0"/>
          <w:numId w:val="2"/>
        </w:numPr>
        <w:spacing w:after="60"/>
      </w:pPr>
      <w:r>
        <w:t xml:space="preserve">No se pregunta </w:t>
      </w:r>
      <w:r>
        <w:rPr>
          <w:i/>
          <w:iCs/>
        </w:rPr>
        <w:t xml:space="preserve">si</w:t>
      </w:r>
      <w:r>
        <w:t xml:space="preserve"> la privación daña, sino cómo el </w:t>
      </w:r>
      <w:r>
        <w:rPr>
          <w:b/>
          <w:bCs/>
        </w:rPr>
        <w:t xml:space="preserve">momento, la duración y la reversibilidad</w:t>
      </w:r>
      <w:r>
        <w:t xml:space="preserve"> moldean su costo.</w:t>
      </w:r>
    </w:p>
    <w:p>
      <w:pPr>
        <w:pStyle w:val="ListParagraph"/>
        <w:numPr>
          <w:ilvl w:val="0"/>
          <w:numId w:val="2"/>
        </w:numPr>
        <w:spacing w:after="60"/>
      </w:pPr>
      <w:r>
        <w:t xml:space="preserve">Datos: ELPI, 4 olas (2010, 2012, 2017, 2024), más de 15.000 niños.</w:t>
      </w:r>
    </w:p>
    <w:p>
      <w:pPr>
        <w:pStyle w:val="ListParagraph"/>
        <w:numPr>
          <w:ilvl w:val="0"/>
          <w:numId w:val="2"/>
        </w:numPr>
        <w:spacing w:after="60"/>
      </w:pPr>
      <w:r>
        <w:rPr>
          <w:b/>
          <w:bCs/>
        </w:rPr>
        <w:t xml:space="preserve">Antesala (recuadro lateral):</w:t>
      </w:r>
      <w:r>
        <w:t xml:space="preserve"> los activos no amortiguan el daño directo (H1 ✗), pero reducen la incidencia de shocks (OR 0,53–0,85) y facilitan la recuperación (H2 y H3 ✓). El empleo decide la recuperación (22–30 % frente a 48–71 %).</w:t>
      </w:r>
    </w:p>
    <w:p>
      <w:pPr>
        <w:pBdr>
          <w:left w:val="single" w:color="1F4E79" w:sz="12" w:space="8"/>
        </w:pBdr>
        <w:spacing w:after="160" w:before="60"/>
        <w:ind w:left="360"/>
      </w:pPr>
      <w:r>
        <w:rPr>
          <w:b/>
          <w:bCs/>
          <w:color w:val="1F4E79"/>
        </w:rPr>
        <w:t xml:space="preserve">Mensaje oral: </w:t>
      </w:r>
      <w:r>
        <w:t xml:space="preserve">esto motiva mirar trayectorias y no eventos aislados.</w:t>
      </w:r>
    </w:p>
    <w:p>
      <w:pPr>
        <w:pStyle w:val="Heading2"/>
      </w:pPr>
      <w:r>
        <w:t xml:space="preserve">Lámina 5 · Diseño</w:t>
      </w:r>
    </w:p>
    <w:p>
      <w:pPr>
        <w:spacing w:after="80"/>
      </w:pPr>
      <w:r>
        <w:rPr>
          <w:i/>
          <w:iCs/>
          <w:color w:val="595959"/>
          <w:sz w:val="18"/>
          <w:szCs w:val="18"/>
        </w:rPr>
        <w:t xml:space="preserve">~1 min · diagrama 2×2</w:t>
      </w:r>
    </w:p>
    <w:p>
      <w:pPr>
        <w:pStyle w:val="ListParagraph"/>
        <w:numPr>
          <w:ilvl w:val="0"/>
          <w:numId w:val="2"/>
        </w:numPr>
        <w:spacing w:after="60"/>
      </w:pPr>
      <w:r>
        <w:t xml:space="preserve">Tipología: estado ocupacional en 2012 × estado en 2017 → estabilidad, recuperación, deterioro y cronicidad.</w:t>
      </w:r>
    </w:p>
    <w:p>
      <w:pPr>
        <w:pStyle w:val="ListParagraph"/>
        <w:numPr>
          <w:ilvl w:val="0"/>
          <w:numId w:val="2"/>
        </w:numPr>
        <w:spacing w:after="60"/>
      </w:pPr>
      <w:r>
        <w:t xml:space="preserve">Identificación con </w:t>
      </w:r>
      <w:r>
        <w:rPr>
          <w:b/>
          <w:bCs/>
        </w:rPr>
        <w:t xml:space="preserve">línea base propia</w:t>
      </w:r>
      <w:r>
        <w:t xml:space="preserve">: TVIP 2017 controlando por TVIP 2012; la exposición es estrictamente posterior a la línea base.</w:t>
      </w:r>
    </w:p>
    <w:p>
      <w:pPr>
        <w:pStyle w:val="ListParagraph"/>
        <w:numPr>
          <w:ilvl w:val="0"/>
          <w:numId w:val="2"/>
        </w:numPr>
        <w:spacing w:after="60"/>
      </w:pPr>
      <w:r>
        <w:t xml:space="preserve">N = 6.809.</w:t>
      </w:r>
    </w:p>
    <w:p>
      <w:pPr>
        <w:pStyle w:val="Heading2"/>
      </w:pPr>
      <w:r>
        <w:t xml:space="preserve">Lámina 6 · Resultado central</w:t>
      </w:r>
    </w:p>
    <w:p>
      <w:pPr>
        <w:spacing w:after="80"/>
      </w:pPr>
      <w:r>
        <w:rPr>
          <w:i/>
          <w:iCs/>
          <w:color w:val="595959"/>
          <w:sz w:val="18"/>
          <w:szCs w:val="18"/>
        </w:rPr>
        <w:t xml:space="preserve">~1,5 min · gráfico de coeficientes con IC 95 %</w:t>
      </w:r>
    </w:p>
    <w:p>
      <w:pPr>
        <w:pStyle w:val="ListParagraph"/>
        <w:numPr>
          <w:ilvl w:val="0"/>
          <w:numId w:val="2"/>
        </w:numPr>
        <w:spacing w:after="60"/>
      </w:pPr>
      <w:r>
        <w:t xml:space="preserve">Recuperación: −0,11 DE (p = 0,010).</w:t>
      </w:r>
    </w:p>
    <w:p>
      <w:pPr>
        <w:pStyle w:val="ListParagraph"/>
        <w:numPr>
          <w:ilvl w:val="0"/>
          <w:numId w:val="2"/>
        </w:numPr>
        <w:spacing w:after="60"/>
      </w:pPr>
      <w:r>
        <w:t xml:space="preserve">Cronicidad: −0,13 DE (p &lt; 0,001); no se distingue de la recuperación.</w:t>
      </w:r>
    </w:p>
    <w:p>
      <w:pPr>
        <w:pStyle w:val="ListParagraph"/>
        <w:numPr>
          <w:ilvl w:val="0"/>
          <w:numId w:val="2"/>
        </w:numPr>
        <w:spacing w:after="60"/>
      </w:pPr>
      <w:r>
        <w:t xml:space="preserve">Deterioro: +0,04 DE (n.s.).</w:t>
      </w:r>
    </w:p>
    <w:p>
      <w:pPr>
        <w:pStyle w:val="ListParagraph"/>
        <w:numPr>
          <w:ilvl w:val="0"/>
          <w:numId w:val="2"/>
        </w:numPr>
        <w:spacing w:after="60"/>
      </w:pPr>
      <w:r>
        <w:t xml:space="preserve">Activos 2012: +0,13 DE (p &lt; 0,001).</w:t>
      </w:r>
    </w:p>
    <w:p>
      <w:pPr>
        <w:pBdr>
          <w:left w:val="single" w:color="1F4E79" w:sz="12" w:space="8"/>
        </w:pBdr>
        <w:spacing w:after="160" w:before="60"/>
        <w:ind w:left="360"/>
      </w:pPr>
      <w:r>
        <w:rPr>
          <w:b/>
          <w:bCs/>
          <w:color w:val="1F4E79"/>
        </w:rPr>
        <w:t xml:space="preserve">Mensaje oral: </w:t>
      </w:r>
      <w:r>
        <w:t xml:space="preserve">la recuperación económica no revierte el costo ya incurrido.</w:t>
      </w:r>
    </w:p>
    <w:p>
      <w:pPr>
        <w:pStyle w:val="Heading2"/>
      </w:pPr>
      <w:r>
        <w:t xml:space="preserve">Lámina 7 · Mecanismos</w:t>
      </w:r>
    </w:p>
    <w:p>
      <w:pPr>
        <w:spacing w:after="80"/>
      </w:pPr>
      <w:r>
        <w:rPr>
          <w:i/>
          <w:iCs/>
          <w:color w:val="595959"/>
          <w:sz w:val="18"/>
          <w:szCs w:val="18"/>
        </w:rPr>
        <w:t xml:space="preserve">~1 min</w:t>
      </w:r>
    </w:p>
    <w:p>
      <w:pPr>
        <w:pStyle w:val="ListParagraph"/>
        <w:numPr>
          <w:ilvl w:val="0"/>
          <w:numId w:val="2"/>
        </w:numPr>
        <w:spacing w:after="60"/>
      </w:pPr>
      <w:r>
        <w:t xml:space="preserve">El estrés parental (PSI) media el 12–17 % del efecto de los activos sobre el TVIP y el 62–74 % sobre el CBCL.</w:t>
      </w:r>
    </w:p>
    <w:p>
      <w:pPr>
        <w:pStyle w:val="ListParagraph"/>
        <w:numPr>
          <w:ilvl w:val="0"/>
          <w:numId w:val="2"/>
        </w:numPr>
        <w:spacing w:after="60"/>
      </w:pPr>
      <w:r>
        <w:t xml:space="preserve">Lectura: la inversión opera sobre lo cognitivo y el estrés sobre lo socioemocional; son canales de dominios distintos que no compiten entre sí.</w:t>
      </w:r>
    </w:p>
    <w:p>
      <w:pPr>
        <w:pStyle w:val="Heading2"/>
      </w:pPr>
      <w:r>
        <w:t xml:space="preserve">Lámina 8 · Robustez y horizonte largo</w:t>
      </w:r>
    </w:p>
    <w:p>
      <w:pPr>
        <w:spacing w:after="80"/>
      </w:pPr>
      <w:r>
        <w:rPr>
          <w:i/>
          <w:iCs/>
          <w:color w:val="595959"/>
          <w:sz w:val="18"/>
          <w:szCs w:val="18"/>
        </w:rPr>
        <w:t xml:space="preserve">~0,75 min · mini tabla</w:t>
      </w:r>
    </w:p>
    <w:p>
      <w:pPr>
        <w:pStyle w:val="ListParagraph"/>
        <w:numPr>
          <w:ilvl w:val="0"/>
          <w:numId w:val="2"/>
        </w:numPr>
        <w:spacing w:after="60"/>
      </w:pPr>
      <w:r>
        <w:t xml:space="preserve">Estructura familiar: el efecto principal no cambia; la inestabilidad de cuidadores tiene un costo propio.</w:t>
      </w:r>
    </w:p>
    <w:p>
      <w:pPr>
        <w:pStyle w:val="ListParagraph"/>
        <w:numPr>
          <w:ilvl w:val="0"/>
          <w:numId w:val="2"/>
        </w:numPr>
        <w:spacing w:after="60"/>
      </w:pPr>
      <w:r>
        <w:t xml:space="preserve">Ganancia simétrica (M5) y shock regional (M6): sin cambios.</w:t>
      </w:r>
    </w:p>
    <w:p>
      <w:pPr>
        <w:pStyle w:val="ListParagraph"/>
        <w:numPr>
          <w:ilvl w:val="0"/>
          <w:numId w:val="2"/>
        </w:numPr>
        <w:spacing w:after="60"/>
      </w:pPr>
      <w:r>
        <w:t xml:space="preserve">Horizonte 2012 → 2024: la cronicidad persiste (−0,085) y la penalización por recuperación se atenúa; los activos pesan más a largo plazo.</w:t>
      </w:r>
    </w:p>
    <w:p>
      <w:pPr>
        <w:pStyle w:val="Heading2"/>
      </w:pPr>
      <w:r>
        <w:t xml:space="preserve">Lámina 9 · Límites y estado</w:t>
      </w:r>
    </w:p>
    <w:p>
      <w:pPr>
        <w:spacing w:after="80"/>
      </w:pPr>
      <w:r>
        <w:rPr>
          <w:i/>
          <w:iCs/>
          <w:color w:val="595959"/>
          <w:sz w:val="18"/>
          <w:szCs w:val="18"/>
        </w:rPr>
        <w:t xml:space="preserve">~0,75 min</w:t>
      </w:r>
    </w:p>
    <w:p>
      <w:pPr>
        <w:pStyle w:val="ListParagraph"/>
        <w:numPr>
          <w:ilvl w:val="0"/>
          <w:numId w:val="2"/>
        </w:numPr>
        <w:spacing w:after="60"/>
      </w:pPr>
      <w:r>
        <w:t xml:space="preserve">Límites declarados: selección tipo Mayer, atenuación en la variable dependiente rezagada y mediadores contemporáneos.</w:t>
      </w:r>
    </w:p>
    <w:p>
      <w:pPr>
        <w:pStyle w:val="ListParagraph"/>
        <w:numPr>
          <w:ilvl w:val="0"/>
          <w:numId w:val="2"/>
        </w:numPr>
        <w:spacing w:after="60"/>
      </w:pPr>
      <w:r>
        <w:t xml:space="preserve">Estado: introducción, marco y métodos redactados; análisis completo; faltan resultados y discusión.</w:t>
      </w:r>
    </w:p>
    <w:p>
      <w:pPr>
        <w:pStyle w:val="ListParagraph"/>
        <w:numPr>
          <w:ilvl w:val="0"/>
          <w:numId w:val="2"/>
        </w:numPr>
        <w:spacing w:after="60"/>
      </w:pPr>
      <w:r>
        <w:t xml:space="preserve">Revista objetivo: </w:t>
      </w:r>
      <w:r>
        <w:rPr>
          <w:i/>
          <w:iCs/>
        </w:rPr>
        <w:t xml:space="preserve">World Development</w:t>
      </w:r>
      <w:r>
        <w:t xml:space="preserve">. Ponencia en DEMOSAL (Montevideo, marzo de 2027).</w:t>
      </w:r>
    </w:p>
    <w:p>
      <w:pPr>
        <w:pStyle w:val="Heading1"/>
        <w:spacing w:before="240"/>
      </w:pPr>
      <w:r>
        <w:rPr>
          <w:sz w:val="26"/>
          <w:szCs w:val="26"/>
        </w:rPr>
        <w:t xml:space="preserve">Bloque III — Artículo 2: movilidad escolar como hecho económico, redes y expectativas</w:t>
      </w:r>
    </w:p>
    <w:p>
      <w:pPr>
        <w:pStyle w:val="Heading2"/>
      </w:pPr>
      <w:r>
        <w:t xml:space="preserve">Lámina 10 · Encuadre: el cambio de colegio como hecho económico</w:t>
      </w:r>
    </w:p>
    <w:p>
      <w:pPr>
        <w:spacing w:after="80"/>
      </w:pPr>
      <w:r>
        <w:rPr>
          <w:i/>
          <w:iCs/>
          <w:color w:val="595959"/>
          <w:sz w:val="18"/>
          <w:szCs w:val="18"/>
        </w:rPr>
        <w:t xml:space="preserve">~1 min</w:t>
      </w:r>
    </w:p>
    <w:p>
      <w:pPr>
        <w:pStyle w:val="ListParagraph"/>
        <w:numPr>
          <w:ilvl w:val="0"/>
          <w:numId w:val="2"/>
        </w:numPr>
        <w:spacing w:after="60"/>
      </w:pPr>
      <w:r>
        <w:t xml:space="preserve">En Chile, moverse entre dependencias (municipal, particular subvencionado con copago, particular pagado) es una </w:t>
      </w:r>
      <w:r>
        <w:rPr>
          <w:b/>
          <w:bCs/>
        </w:rPr>
        <w:t xml:space="preserve">decisión económica del hogar</w:t>
      </w:r>
      <w:r>
        <w:t xml:space="preserve">: subir compromete recursos bajo incertidumbre y bajar puede señalar un shock.</w:t>
      </w:r>
    </w:p>
    <w:p>
      <w:pPr>
        <w:pStyle w:val="ListParagraph"/>
        <w:numPr>
          <w:ilvl w:val="0"/>
          <w:numId w:val="2"/>
        </w:numPr>
        <w:spacing w:after="60"/>
      </w:pPr>
      <w:r>
        <w:t xml:space="preserve">La movilidad escolar es así una forma observable de la (in)seguridad económica en datos administrativos.</w:t>
      </w:r>
    </w:p>
    <w:p>
      <w:pPr>
        <w:pStyle w:val="ListParagraph"/>
        <w:numPr>
          <w:ilvl w:val="0"/>
          <w:numId w:val="2"/>
        </w:numPr>
        <w:spacing w:after="60"/>
      </w:pPr>
      <w:r>
        <w:t xml:space="preserve">Esa movilidad reconfigura además la </w:t>
      </w:r>
      <w:r>
        <w:rPr>
          <w:b/>
          <w:bCs/>
        </w:rPr>
        <w:t xml:space="preserve">red de pares</w:t>
      </w:r>
      <w:r>
        <w:t xml:space="preserve"> del estudiante (DiMaggio &amp; Garip 2012) y, a través de ella, sus expectativas.</w:t>
      </w:r>
    </w:p>
    <w:p>
      <w:pPr>
        <w:pStyle w:val="ListParagraph"/>
        <w:numPr>
          <w:ilvl w:val="0"/>
          <w:numId w:val="2"/>
        </w:numPr>
        <w:spacing w:after="60"/>
      </w:pPr>
      <w:r>
        <w:rPr>
          <w:i/>
          <w:iCs/>
        </w:rPr>
        <w:t xml:space="preserve">Por construir:</w:t>
      </w:r>
      <w:r>
        <w:t xml:space="preserve"> un proxy de la condición económica del hogar. Candidatos: trayectoria de alumno prioritario/preferente (SEP), arancel o copago del colegio de destino, índice de elitización. </w:t>
      </w:r>
      <w:r>
        <w:rPr>
          <w:b/>
          <w:bCs/>
        </w:rPr>
        <w:t xml:space="preserve">Hay que verificar la disponibilidad.</w:t>
      </w:r>
    </w:p>
    <w:p>
      <w:pPr>
        <w:pStyle w:val="Heading2"/>
      </w:pPr>
      <w:r>
        <w:t xml:space="preserve">Lámina 11 · Diseño</w:t>
      </w:r>
    </w:p>
    <w:p>
      <w:pPr>
        <w:spacing w:after="80"/>
      </w:pPr>
      <w:r>
        <w:rPr>
          <w:i/>
          <w:iCs/>
          <w:color w:val="595959"/>
          <w:sz w:val="18"/>
          <w:szCs w:val="18"/>
        </w:rPr>
        <w:t xml:space="preserve">~1 min</w:t>
      </w:r>
    </w:p>
    <w:p>
      <w:pPr>
        <w:pStyle w:val="ListParagraph"/>
        <w:numPr>
          <w:ilvl w:val="0"/>
          <w:numId w:val="2"/>
        </w:numPr>
        <w:spacing w:after="60"/>
      </w:pPr>
      <w:r>
        <w:t xml:space="preserve">Δ = expectativa del estudiante (II medio) − expectativa de los padres (4° básico): línea base pre-movilidad con otro informante.</w:t>
      </w:r>
    </w:p>
    <w:p>
      <w:pPr>
        <w:pStyle w:val="ListParagraph"/>
        <w:numPr>
          <w:ilvl w:val="0"/>
          <w:numId w:val="2"/>
        </w:numPr>
        <w:spacing w:after="60"/>
      </w:pPr>
      <w:r>
        <w:t xml:space="preserve">Se consideran movilizados quienes cambian de dependencia entre ambas mediciones; dos grupos de referencia (excompañeros de origen y nuevos compañeros).</w:t>
      </w:r>
    </w:p>
    <w:p>
      <w:pPr>
        <w:pStyle w:val="ListParagraph"/>
        <w:numPr>
          <w:ilvl w:val="0"/>
          <w:numId w:val="2"/>
        </w:numPr>
        <w:spacing w:after="60"/>
      </w:pPr>
      <w:r>
        <w:t xml:space="preserve">Pruebas previstas:</w:t>
      </w:r>
    </w:p>
    <w:p>
      <w:pPr>
        <w:pStyle w:val="ListParagraph"/>
        <w:numPr>
          <w:ilvl w:val="1"/>
          <w:numId w:val="2"/>
        </w:numPr>
        <w:spacing w:after="60"/>
      </w:pPr>
      <w:r>
        <w:t xml:space="preserve">(a) dirección del movimiento (ascenso o descenso) como hecho económico;</w:t>
      </w:r>
    </w:p>
    <w:p>
      <w:pPr>
        <w:pStyle w:val="ListParagraph"/>
        <w:numPr>
          <w:ilvl w:val="1"/>
          <w:numId w:val="2"/>
        </w:numPr>
        <w:spacing w:after="60"/>
      </w:pPr>
      <w:r>
        <w:t xml:space="preserve">(b) formas funcionales de exposición a pares (continua, umbral, densidad);</w:t>
      </w:r>
    </w:p>
    <w:p>
      <w:pPr>
        <w:pStyle w:val="ListParagraph"/>
        <w:numPr>
          <w:ilvl w:val="1"/>
          <w:numId w:val="2"/>
        </w:numPr>
        <w:spacing w:after="60"/>
      </w:pPr>
      <w:r>
        <w:t xml:space="preserve">(c) divergencia de varianza (réplica de DiMaggio &amp; Garip 2011).</w:t>
      </w:r>
    </w:p>
    <w:p>
      <w:pPr>
        <w:pStyle w:val="Heading2"/>
      </w:pPr>
      <w:r>
        <w:t xml:space="preserve">Lámina 12 · Contribución y estado</w:t>
      </w:r>
    </w:p>
    <w:p>
      <w:pPr>
        <w:spacing w:after="80"/>
      </w:pPr>
      <w:r>
        <w:rPr>
          <w:i/>
          <w:iCs/>
          <w:color w:val="595959"/>
          <w:sz w:val="18"/>
          <w:szCs w:val="18"/>
        </w:rPr>
        <w:t xml:space="preserve">~1 min</w:t>
      </w:r>
    </w:p>
    <w:p>
      <w:pPr>
        <w:pStyle w:val="ListParagraph"/>
        <w:numPr>
          <w:ilvl w:val="0"/>
          <w:numId w:val="2"/>
        </w:numPr>
        <w:spacing w:after="60"/>
      </w:pPr>
      <w:r>
        <w:t xml:space="preserve">Se atacan a la vez la selección (vía Δ) y la desigualdad (vía varianza). Antecedente más cercano: Cattan, Salvanes &amp; Tominey (2022).</w:t>
      </w:r>
    </w:p>
    <w:p>
      <w:pPr>
        <w:pStyle w:val="ListParagraph"/>
        <w:numPr>
          <w:ilvl w:val="0"/>
          <w:numId w:val="2"/>
        </w:numPr>
        <w:spacing w:after="60"/>
      </w:pPr>
      <w:r>
        <w:t xml:space="preserve">Piloto 2023: 205.886 cuestionarios con 100 % de match al panel MINEDUC.</w:t>
      </w:r>
    </w:p>
    <w:p>
      <w:pPr>
        <w:pStyle w:val="ListParagraph"/>
        <w:numPr>
          <w:ilvl w:val="0"/>
          <w:numId w:val="2"/>
        </w:numPr>
        <w:spacing w:after="60"/>
      </w:pPr>
      <w:r>
        <w:t xml:space="preserve">Plan A (expectativas) y Plan B (rendimiento y selección en educación superior), con una regla de cobertura de ≥60–70 %.</w:t>
      </w:r>
    </w:p>
    <w:p>
      <w:pPr>
        <w:pStyle w:val="ListParagraph"/>
        <w:numPr>
          <w:ilvl w:val="0"/>
          <w:numId w:val="2"/>
        </w:numPr>
        <w:spacing w:after="60"/>
      </w:pPr>
      <w:r>
        <w:t xml:space="preserve">Siguiente paso: diagnóstico de completitud del Cuestionario SIMCE año por año.</w:t>
      </w:r>
    </w:p>
    <w:p>
      <w:pPr>
        <w:pStyle w:val="Heading1"/>
        <w:spacing w:before="240"/>
      </w:pPr>
      <w:r>
        <w:rPr>
          <w:sz w:val="26"/>
          <w:szCs w:val="26"/>
        </w:rPr>
        <w:t xml:space="preserve">Bloque IV — Artículo 3: redes de activos y deudas</w:t>
      </w:r>
    </w:p>
    <w:p>
      <w:pPr>
        <w:pStyle w:val="Heading2"/>
      </w:pPr>
      <w:r>
        <w:t xml:space="preserve">Lámina 13 · Idea</w:t>
      </w:r>
    </w:p>
    <w:p>
      <w:pPr>
        <w:spacing w:after="80"/>
      </w:pPr>
      <w:r>
        <w:rPr>
          <w:i/>
          <w:iCs/>
          <w:color w:val="595959"/>
          <w:sz w:val="18"/>
          <w:szCs w:val="18"/>
        </w:rPr>
        <w:t xml:space="preserve">~0,75 min</w:t>
      </w:r>
    </w:p>
    <w:p>
      <w:pPr>
        <w:pStyle w:val="ListParagraph"/>
        <w:numPr>
          <w:ilvl w:val="0"/>
          <w:numId w:val="2"/>
        </w:numPr>
        <w:spacing w:after="60"/>
      </w:pPr>
      <w:r>
        <w:t xml:space="preserve">La seguridad económica como </w:t>
      </w:r>
      <w:r>
        <w:rPr>
          <w:b/>
          <w:bCs/>
        </w:rPr>
        <w:t xml:space="preserve">propiedad relacional</w:t>
      </w:r>
      <w:r>
        <w:t xml:space="preserve">.</w:t>
      </w:r>
    </w:p>
    <w:p>
      <w:pPr>
        <w:pStyle w:val="ListParagraph"/>
        <w:numPr>
          <w:ilvl w:val="0"/>
          <w:numId w:val="2"/>
        </w:numPr>
        <w:spacing w:after="60"/>
      </w:pPr>
      <w:r>
        <w:t xml:space="preserve">Los nodos son instrumentos financieros (ahorro, hipoteca, consumo bancario o de retail, deuda educativa, mora) y los hogares son trayectorias que los recorren.</w:t>
      </w:r>
    </w:p>
    <w:p>
      <w:pPr>
        <w:pStyle w:val="ListParagraph"/>
        <w:numPr>
          <w:ilvl w:val="0"/>
          <w:numId w:val="2"/>
        </w:numPr>
        <w:spacing w:after="60"/>
      </w:pPr>
      <w:r>
        <w:t xml:space="preserve">Se distinguen “puentes seguros” de “espirales de estrés”. Referencia: Cheng &amp; Park (2020), para quienes las fronteras de movilidad equivalen a fronteras de clase.</w:t>
      </w:r>
    </w:p>
    <w:p>
      <w:pPr>
        <w:pStyle w:val="Heading2"/>
      </w:pPr>
      <w:r>
        <w:t xml:space="preserve">Lámina 14 · Diseño y estado</w:t>
      </w:r>
    </w:p>
    <w:p>
      <w:pPr>
        <w:spacing w:after="80"/>
      </w:pPr>
      <w:r>
        <w:rPr>
          <w:i/>
          <w:iCs/>
          <w:color w:val="595959"/>
          <w:sz w:val="18"/>
          <w:szCs w:val="18"/>
        </w:rPr>
        <w:t xml:space="preserve">~0,75 min</w:t>
      </w:r>
    </w:p>
    <w:p>
      <w:pPr>
        <w:pStyle w:val="ListParagraph"/>
        <w:numPr>
          <w:ilvl w:val="0"/>
          <w:numId w:val="2"/>
        </w:numPr>
        <w:spacing w:after="60"/>
      </w:pPr>
      <w:r>
        <w:t xml:space="preserve">Panel EFH (llave de panel entre olas). Proyección bipartita, comunidades por flujos e índice de seguridad.</w:t>
      </w:r>
    </w:p>
    <w:p>
      <w:pPr>
        <w:pStyle w:val="ListParagraph"/>
        <w:numPr>
          <w:ilvl w:val="0"/>
          <w:numId w:val="2"/>
        </w:numPr>
        <w:spacing w:after="60"/>
      </w:pPr>
      <w:r>
        <w:t xml:space="preserve">Respuesta a Pfeffer: el índice se compara con componentes simples en capacidad predictiva.</w:t>
      </w:r>
    </w:p>
    <w:p>
      <w:pPr>
        <w:pStyle w:val="ListParagraph"/>
        <w:numPr>
          <w:ilvl w:val="0"/>
          <w:numId w:val="2"/>
        </w:numPr>
        <w:spacing w:after="60"/>
      </w:pPr>
      <w:r>
        <w:t xml:space="preserve">Estado: argumento escrito y panel procesado. Falta actualizar el encuadre, que aún se apoya en las medidas imputadas del antiguo Artículo 1.</w:t>
      </w:r>
    </w:p>
    <w:p>
      <w:pPr>
        <w:pStyle w:val="Heading1"/>
        <w:spacing w:before="240"/>
      </w:pPr>
      <w:r>
        <w:rPr>
          <w:sz w:val="26"/>
          <w:szCs w:val="26"/>
        </w:rPr>
        <w:t xml:space="preserve">Bloque V — Cierre</w:t>
      </w:r>
    </w:p>
    <w:p>
      <w:pPr>
        <w:pStyle w:val="Heading2"/>
      </w:pPr>
      <w:r>
        <w:t xml:space="preserve">Lámina 15 · Síntesis, próximos pasos y preguntas a la comisión</w:t>
      </w:r>
    </w:p>
    <w:p>
      <w:pPr>
        <w:spacing w:after="80"/>
      </w:pPr>
      <w:r>
        <w:rPr>
          <w:i/>
          <w:iCs/>
          <w:color w:val="595959"/>
          <w:sz w:val="18"/>
          <w:szCs w:val="18"/>
        </w:rPr>
        <w:t xml:space="preserve">~0,5 min</w:t>
      </w:r>
    </w:p>
    <w:p>
      <w:pPr>
        <w:pStyle w:val="ListParagraph"/>
        <w:numPr>
          <w:ilvl w:val="0"/>
          <w:numId w:val="2"/>
        </w:numPr>
        <w:spacing w:after="60"/>
      </w:pPr>
      <w:r>
        <w:t xml:space="preserve">Tres escalas de la inseguridad económica: el hogar en el tiempo, el hogar frente a la escuela y la estructura financiera.</w:t>
      </w:r>
    </w:p>
    <w:p>
      <w:pPr>
        <w:pStyle w:val="ListParagraph"/>
        <w:numPr>
          <w:ilvl w:val="0"/>
          <w:numId w:val="2"/>
        </w:numPr>
        <w:spacing w:after="60"/>
      </w:pPr>
      <w:r>
        <w:t xml:space="preserve">Cronograma breve hasta la defensa.</w:t>
      </w:r>
    </w:p>
    <w:p>
      <w:pPr>
        <w:pStyle w:val="ListParagraph"/>
        <w:numPr>
          <w:ilvl w:val="0"/>
          <w:numId w:val="2"/>
        </w:numPr>
        <w:spacing w:after="60"/>
      </w:pPr>
      <w:r>
        <w:t xml:space="preserve">Dos o tres preguntas concretas para la comisión.</w:t>
      </w:r>
    </w:p>
    <w:p>
      <w:pPr>
        <w:pStyle w:val="Heading1"/>
      </w:pPr>
      <w:r>
        <w:t xml:space="preserve">5. Anexo de respaldo (no se expone)</w:t>
      </w:r>
    </w:p>
    <w:p>
      <w:pPr>
        <w:pStyle w:val="ListParagraph"/>
        <w:numPr>
          <w:ilvl w:val="0"/>
          <w:numId w:val="2"/>
        </w:numPr>
        <w:spacing w:after="60"/>
      </w:pPr>
      <w:r>
        <w:t xml:space="preserve">Tabla completa: comentario de la comisión → cómo se abordó.</w:t>
      </w:r>
    </w:p>
    <w:p>
      <w:pPr>
        <w:pStyle w:val="ListParagraph"/>
        <w:numPr>
          <w:ilvl w:val="0"/>
          <w:numId w:val="2"/>
        </w:numPr>
        <w:spacing w:after="60"/>
      </w:pPr>
      <w:r>
        <w:t xml:space="preserve">Detalle de la comparación naive frente a incertidumbre propagada (antiguo Artículo 1).</w:t>
      </w:r>
    </w:p>
    <w:p>
      <w:pPr>
        <w:pStyle w:val="ListParagraph"/>
        <w:numPr>
          <w:ilvl w:val="0"/>
          <w:numId w:val="2"/>
        </w:numPr>
        <w:spacing w:after="60"/>
      </w:pPr>
      <w:r>
        <w:t xml:space="preserve">Tablas M0–M6 del Artículo 1 y resultados de mediación.</w:t>
      </w:r>
    </w:p>
    <w:p>
      <w:pPr>
        <w:pStyle w:val="ListParagraph"/>
        <w:numPr>
          <w:ilvl w:val="0"/>
          <w:numId w:val="2"/>
        </w:numPr>
        <w:spacing w:after="60"/>
      </w:pPr>
      <w:r>
        <w:t xml:space="preserve">Los tres mecanismos de red de DiMaggio &amp; Garip y sus huellas funcionales.</w:t>
      </w:r>
    </w:p>
    <w:p>
      <w:pPr>
        <w:pStyle w:val="Heading1"/>
      </w:pPr>
      <w:r>
        <w:t xml:space="preserve">6. Pendientes para las próximas sesiones</w:t>
      </w:r>
    </w:p>
    <w:p>
      <w:pPr>
        <w:pStyle w:val="ListParagraph"/>
        <w:numPr>
          <w:ilvl w:val="0"/>
          <w:numId w:val="2"/>
        </w:numPr>
        <w:spacing w:after="60"/>
      </w:pPr>
      <w:r>
        <w:t xml:space="preserve">Definir el título de la tesis y la pregunta general.</w:t>
      </w:r>
    </w:p>
    <w:p>
      <w:pPr>
        <w:pStyle w:val="ListParagraph"/>
        <w:numPr>
          <w:ilvl w:val="0"/>
          <w:numId w:val="2"/>
        </w:numPr>
        <w:spacing w:after="60"/>
      </w:pPr>
      <w:r>
        <w:t xml:space="preserve">Artículo 2: confirmar qué proxy económico del hogar existe en los datos MINEDUC y redactar la hipótesis sobre el ascenso y el descenso.</w:t>
      </w:r>
    </w:p>
    <w:p>
      <w:pPr>
        <w:pStyle w:val="ListParagraph"/>
        <w:numPr>
          <w:ilvl w:val="0"/>
          <w:numId w:val="2"/>
        </w:numPr>
        <w:spacing w:after="60"/>
      </w:pPr>
      <w:r>
        <w:t xml:space="preserve">Artículo 3: decidir el nombre del índice (IPPS o SCI) y revisar el uso de “patrimonial”.</w:t>
      </w:r>
    </w:p>
    <w:p>
      <w:pPr>
        <w:pStyle w:val="ListParagraph"/>
        <w:numPr>
          <w:ilvl w:val="0"/>
          <w:numId w:val="2"/>
        </w:numPr>
        <w:spacing w:after="60"/>
      </w:pPr>
      <w:r>
        <w:t xml:space="preserve">Figuras: gráfico de coeficientes del Artículo 1 y diagrama de la tipología 2×2.</w:t>
      </w:r>
    </w:p>
    <w:p>
      <w:pPr>
        <w:pStyle w:val="ListParagraph"/>
        <w:numPr>
          <w:ilvl w:val="0"/>
          <w:numId w:val="2"/>
        </w:numPr>
        <w:spacing w:after="60"/>
      </w:pPr>
      <w:r>
        <w:t xml:space="preserve">Cronograma hasta la defensa.</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Estructura coloquio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4E79"/>
      <w:sz w:val="30"/>
      <w:szCs w:val="30"/>
    </w:rPr>
  </w:style>
  <w:style w:type="paragraph" w:styleId="Heading2">
    <w:name w:val="Heading 2"/>
    <w:basedOn w:val="Normal"/>
    <w:next w:val="Normal"/>
    <w:qFormat/>
    <w:pPr>
      <w:spacing w:after="60" w:before="200"/>
      <w:outlineLvl w:val="1"/>
    </w:pPr>
    <w:rPr>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2026-09-26T17:46:09.959Z</dcterms:created>
  <dcterms:modified xsi:type="dcterms:W3CDTF">2026-09-26T17:46:09.969Z</dcterms:modified>
</cp:coreProperties>
</file>

<file path=docProps/custom.xml><?xml version="1.0" encoding="utf-8"?>
<Properties xmlns="http://schemas.openxmlformats.org/officeDocument/2006/custom-properties" xmlns:vt="http://schemas.openxmlformats.org/officeDocument/2006/docPropsVTypes"/>
</file>