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Problematización general de la tesis</w:t>
      </w:r>
    </w:p>
    <w:p>
      <w:pPr>
        <w:spacing w:after="60"/>
      </w:pPr>
      <w:r>
        <w:rPr>
          <w:sz w:val="28"/>
          <w:szCs w:val="28"/>
        </w:rPr>
        <w:t xml:space="preserve">Nota conceptual: de la riqueza a la posición económica compuesta</w:t>
      </w:r>
    </w:p>
    <w:p>
      <w:pPr>
        <w:pBdr>
          <w:bottom w:val="single" w:color="1F4E79" w:sz="8" w:space="4"/>
        </w:pBdr>
        <w:spacing w:after="240"/>
      </w:pPr>
      <w:r>
        <w:rPr>
          <w:color w:val="595959"/>
          <w:sz w:val="20"/>
          <w:szCs w:val="20"/>
        </w:rPr>
        <w:t xml:space="preserve">Gonzalo Torres Rosales · borrador de trabajo · 27 de septiembre de 2026</w:t>
      </w:r>
    </w:p>
    <w:p>
      <w:pPr>
        <w:pStyle w:val="Heading1"/>
      </w:pPr>
      <w:r>
        <w:t xml:space="preserve">1. El problema de nombrar lo que hace la tesis</w:t>
      </w:r>
    </w:p>
    <w:p>
      <w:pPr>
        <w:spacing w:after="100"/>
      </w:pPr>
      <w:r>
        <w:t xml:space="preserve">El título de la candidatura (</w:t>
      </w:r>
      <w:r>
        <w:rPr>
          <w:i/>
          <w:iCs/>
        </w:rPr>
        <w:t xml:space="preserve">Household Wealth Configurations and the Unequal Security of Family Futures in Chile</w:t>
      </w:r>
      <w:r>
        <w:t xml:space="preserve">) sigue describiendo bien la apuesta de fondo. La seguridad de los hogares depende de cómo se </w:t>
      </w:r>
      <w:r>
        <w:rPr>
          <w:b/>
          <w:bCs/>
        </w:rPr>
        <w:t xml:space="preserve">configuran</w:t>
      </w:r>
      <w:r>
        <w:t xml:space="preserve"> sus recursos, no de un monto agregado. Pero el objeto empírico se desplazó. Hoy ninguno de los tres artículos trabaja con la riqueza como tal:</w:t>
      </w:r>
    </w:p>
    <w:p>
      <w:pPr>
        <w:pStyle w:val="ListParagraph"/>
        <w:numPr>
          <w:ilvl w:val="0"/>
          <w:numId w:val="2"/>
        </w:numPr>
        <w:spacing w:after="60"/>
      </w:pPr>
      <w:r>
        <w:rPr>
          <w:b/>
          <w:bCs/>
        </w:rPr>
        <w:t xml:space="preserve">Artículo 1</w:t>
      </w:r>
      <w:r>
        <w:t xml:space="preserve"> combina la trayectoria ocupacional (formal/precario), los shocks de ingreso, un índice de activos no líquidos y la estructura familiar.</w:t>
      </w:r>
    </w:p>
    <w:p>
      <w:pPr>
        <w:pStyle w:val="ListParagraph"/>
        <w:numPr>
          <w:ilvl w:val="0"/>
          <w:numId w:val="2"/>
        </w:numPr>
        <w:spacing w:after="60"/>
      </w:pPr>
      <w:r>
        <w:rPr>
          <w:b/>
          <w:bCs/>
        </w:rPr>
        <w:t xml:space="preserve">Artículo 2</w:t>
      </w:r>
      <w:r>
        <w:t xml:space="preserve"> usa la movilidad entre dependencias escolares como hecho económico del hogar: un compromiso de recursos o la señal de un shock.</w:t>
      </w:r>
    </w:p>
    <w:p>
      <w:pPr>
        <w:pStyle w:val="ListParagraph"/>
        <w:numPr>
          <w:ilvl w:val="0"/>
          <w:numId w:val="2"/>
        </w:numPr>
        <w:spacing w:after="60"/>
      </w:pPr>
      <w:r>
        <w:rPr>
          <w:b/>
          <w:bCs/>
        </w:rPr>
        <w:t xml:space="preserve">Artículo 3</w:t>
      </w:r>
      <w:r>
        <w:t xml:space="preserve"> estudia configuraciones de activos y deudas en el tiempo. Es el único cercano al sentido estricto de </w:t>
      </w:r>
      <w:r>
        <w:rPr>
          <w:i/>
          <w:iCs/>
        </w:rPr>
        <w:t xml:space="preserve">wealth</w:t>
      </w:r>
      <w:r>
        <w:t xml:space="preserve">.</w:t>
      </w:r>
    </w:p>
    <w:p>
      <w:pPr>
        <w:spacing w:after="100"/>
      </w:pPr>
      <w:r>
        <w:t xml:space="preserve">Lo común no es la riqueza sino una </w:t>
      </w:r>
      <w:r>
        <w:rPr>
          <w:b/>
          <w:bCs/>
        </w:rPr>
        <w:t xml:space="preserve">mirada compuesta de la posición económica del hogar</w:t>
      </w:r>
      <w:r>
        <w:t xml:space="preserve">: varias dimensiones (ingreso, activos, deudas, inserción laboral) que se combinan y cuyo valor protector se juega en el tiempo. El concepto tiene que ser más amplio que </w:t>
      </w:r>
      <w:r>
        <w:rPr>
          <w:i/>
          <w:iCs/>
        </w:rPr>
        <w:t xml:space="preserve">wealth</w:t>
      </w:r>
      <w:r>
        <w:t xml:space="preserve"> y más acotado que </w:t>
      </w:r>
      <w:r>
        <w:rPr>
          <w:i/>
          <w:iCs/>
        </w:rPr>
        <w:t xml:space="preserve">SES</w:t>
      </w:r>
      <w:r>
        <w:t xml:space="preserve">.</w:t>
      </w:r>
    </w:p>
    <w:p>
      <w:pPr>
        <w:pStyle w:val="Heading1"/>
      </w:pPr>
      <w:r>
        <w:t xml:space="preserve">2. Conceptos candidatos en la literatura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300"/>
        <w:gridCol w:w="2326"/>
      </w:tblGrid>
      <w:tr>
        <w:trPr>
          <w:tblHeader/>
        </w:trPr>
        <w:tc>
          <w:tcPr>
            <w:tcW w:type="dxa" w:w="1900"/>
            <w:shd w:fill="1F4E79" w:color="auto" w:val="clear"/>
            <w:tcMar>
              <w:top w:type="dxa" w:w="60"/>
              <w:left w:type="dxa" w:w="100"/>
              <w:bottom w:type="dxa" w:w="60"/>
              <w:right w:type="dxa" w:w="100"/>
            </w:tcMar>
          </w:tcPr>
          <w:p>
            <w:r>
              <w:rPr>
                <w:b/>
                <w:bCs/>
                <w:color w:val="FFFFFF"/>
              </w:rPr>
              <w:t xml:space="preserve">Concepto</w:t>
            </w:r>
          </w:p>
        </w:tc>
        <w:tc>
          <w:tcPr>
            <w:tcW w:type="dxa" w:w="2500"/>
            <w:shd w:fill="1F4E79" w:color="auto" w:val="clear"/>
            <w:tcMar>
              <w:top w:type="dxa" w:w="60"/>
              <w:left w:type="dxa" w:w="100"/>
              <w:bottom w:type="dxa" w:w="60"/>
              <w:right w:type="dxa" w:w="100"/>
            </w:tcMar>
          </w:tcPr>
          <w:p>
            <w:r>
              <w:rPr>
                <w:b/>
                <w:bCs/>
                <w:color w:val="FFFFFF"/>
              </w:rPr>
              <w:t xml:space="preserve">Qué incluye</w:t>
            </w:r>
          </w:p>
        </w:tc>
        <w:tc>
          <w:tcPr>
            <w:tcW w:type="dxa" w:w="2300"/>
            <w:shd w:fill="1F4E79" w:color="auto" w:val="clear"/>
            <w:tcMar>
              <w:top w:type="dxa" w:w="60"/>
              <w:left w:type="dxa" w:w="100"/>
              <w:bottom w:type="dxa" w:w="60"/>
              <w:right w:type="dxa" w:w="100"/>
            </w:tcMar>
          </w:tcPr>
          <w:p>
            <w:r>
              <w:rPr>
                <w:b/>
                <w:bCs/>
                <w:color w:val="FFFFFF"/>
              </w:rPr>
              <w:t xml:space="preserve">Ventaja para la tesis</w:t>
            </w:r>
          </w:p>
        </w:tc>
        <w:tc>
          <w:tcPr>
            <w:tcW w:type="dxa" w:w="2326"/>
            <w:shd w:fill="1F4E79" w:color="auto" w:val="clear"/>
            <w:tcMar>
              <w:top w:type="dxa" w:w="60"/>
              <w:left w:type="dxa" w:w="100"/>
              <w:bottom w:type="dxa" w:w="60"/>
              <w:right w:type="dxa" w:w="100"/>
            </w:tcMar>
          </w:tcPr>
          <w:p>
            <w:r>
              <w:rPr>
                <w:b/>
                <w:bCs/>
                <w:color w:val="FFFFFF"/>
              </w:rPr>
              <w:t xml:space="preserve">Límite</w:t>
            </w:r>
          </w:p>
        </w:tc>
      </w:tr>
      <w:tr>
        <w:trPr>
          <w:tblHeader w:val="false"/>
        </w:trPr>
        <w:tc>
          <w:tcPr>
            <w:tcW w:type="dxa" w:w="1900"/>
            <w:shd w:fill="DCE6F1" w:color="auto" w:val="clear"/>
            <w:tcMar>
              <w:top w:type="dxa" w:w="60"/>
              <w:left w:type="dxa" w:w="100"/>
              <w:bottom w:type="dxa" w:w="60"/>
              <w:right w:type="dxa" w:w="100"/>
            </w:tcMar>
          </w:tcPr>
          <w:p>
            <w:r>
              <w:rPr>
                <w:b/>
                <w:bCs/>
                <w:sz w:val="19"/>
                <w:szCs w:val="19"/>
              </w:rPr>
              <w:t xml:space="preserve">Wealth / net worth (Killewald, Pfeffer &amp; Schachner 2017)</w:t>
            </w:r>
          </w:p>
        </w:tc>
        <w:tc>
          <w:tcPr>
            <w:tcW w:type="dxa" w:w="2500"/>
            <w:tcMar>
              <w:top w:type="dxa" w:w="60"/>
              <w:left w:type="dxa" w:w="100"/>
              <w:bottom w:type="dxa" w:w="60"/>
              <w:right w:type="dxa" w:w="100"/>
            </w:tcMar>
          </w:tcPr>
          <w:p>
            <w:r>
              <w:rPr>
                <w:b w:val="false"/>
                <w:bCs w:val="false"/>
                <w:sz w:val="19"/>
                <w:szCs w:val="19"/>
              </w:rPr>
              <w:t xml:space="preserve">Activos menos deudas</w:t>
            </w:r>
          </w:p>
        </w:tc>
        <w:tc>
          <w:tcPr>
            <w:tcW w:type="dxa" w:w="2300"/>
            <w:tcMar>
              <w:top w:type="dxa" w:w="60"/>
              <w:left w:type="dxa" w:w="100"/>
              <w:bottom w:type="dxa" w:w="60"/>
              <w:right w:type="dxa" w:w="100"/>
            </w:tcMar>
          </w:tcPr>
          <w:p>
            <w:r>
              <w:rPr>
                <w:b w:val="false"/>
                <w:bCs w:val="false"/>
                <w:sz w:val="19"/>
                <w:szCs w:val="19"/>
              </w:rPr>
              <w:t xml:space="preserve">Tradición sólida; función de seguro de la riqueza</w:t>
            </w:r>
          </w:p>
        </w:tc>
        <w:tc>
          <w:tcPr>
            <w:tcW w:type="dxa" w:w="2326"/>
            <w:tcMar>
              <w:top w:type="dxa" w:w="60"/>
              <w:left w:type="dxa" w:w="100"/>
              <w:bottom w:type="dxa" w:w="60"/>
              <w:right w:type="dxa" w:w="100"/>
            </w:tcMar>
          </w:tcPr>
          <w:p>
            <w:r>
              <w:rPr>
                <w:b w:val="false"/>
                <w:bCs w:val="false"/>
                <w:sz w:val="19"/>
                <w:szCs w:val="19"/>
              </w:rPr>
              <w:t xml:space="preserve">Deja fuera ingreso y trabajo; ya no describe A1 y A2</w:t>
            </w:r>
          </w:p>
        </w:tc>
      </w:tr>
      <w:tr>
        <w:trPr>
          <w:tblHeader w:val="false"/>
        </w:trPr>
        <w:tc>
          <w:tcPr>
            <w:tcW w:type="dxa" w:w="1900"/>
            <w:shd w:fill="DCE6F1" w:color="auto" w:val="clear"/>
            <w:tcMar>
              <w:top w:type="dxa" w:w="60"/>
              <w:left w:type="dxa" w:w="100"/>
              <w:bottom w:type="dxa" w:w="60"/>
              <w:right w:type="dxa" w:w="100"/>
            </w:tcMar>
          </w:tcPr>
          <w:p>
            <w:r>
              <w:rPr>
                <w:b/>
                <w:bCs/>
                <w:sz w:val="19"/>
                <w:szCs w:val="19"/>
              </w:rPr>
              <w:t xml:space="preserve">Financial status (Keister, Moody &amp; Qiu 2026)</w:t>
            </w:r>
          </w:p>
        </w:tc>
        <w:tc>
          <w:tcPr>
            <w:tcW w:type="dxa" w:w="2500"/>
            <w:tcMar>
              <w:top w:type="dxa" w:w="60"/>
              <w:left w:type="dxa" w:w="100"/>
              <w:bottom w:type="dxa" w:w="60"/>
              <w:right w:type="dxa" w:w="100"/>
            </w:tcMar>
          </w:tcPr>
          <w:p>
            <w:r>
              <w:rPr>
                <w:b w:val="false"/>
                <w:bCs w:val="false"/>
                <w:sz w:val="19"/>
                <w:szCs w:val="19"/>
              </w:rPr>
              <w:t xml:space="preserve">Configuración de ingreso (montos y fuentes), activos (tipos) y deudas (tipos)</w:t>
            </w:r>
          </w:p>
        </w:tc>
        <w:tc>
          <w:tcPr>
            <w:tcW w:type="dxa" w:w="2300"/>
            <w:tcMar>
              <w:top w:type="dxa" w:w="60"/>
              <w:left w:type="dxa" w:w="100"/>
              <w:bottom w:type="dxa" w:w="60"/>
              <w:right w:type="dxa" w:w="100"/>
            </w:tcMar>
          </w:tcPr>
          <w:p>
            <w:r>
              <w:rPr>
                <w:b w:val="false"/>
                <w:bCs w:val="false"/>
                <w:sz w:val="19"/>
                <w:szCs w:val="19"/>
              </w:rPr>
              <w:t xml:space="preserve">Configuracional y no jerárquica; muy cercana a A3</w:t>
            </w:r>
          </w:p>
        </w:tc>
        <w:tc>
          <w:tcPr>
            <w:tcW w:type="dxa" w:w="2326"/>
            <w:tcMar>
              <w:top w:type="dxa" w:w="60"/>
              <w:left w:type="dxa" w:w="100"/>
              <w:bottom w:type="dxa" w:w="60"/>
              <w:right w:type="dxa" w:w="100"/>
            </w:tcMar>
          </w:tcPr>
          <w:p>
            <w:r>
              <w:rPr>
                <w:b w:val="false"/>
                <w:bCs w:val="false"/>
                <w:sz w:val="19"/>
                <w:szCs w:val="19"/>
              </w:rPr>
              <w:t xml:space="preserve">Excluye explícitamente las relaciones de empleo; es transversal (EE.UU.)</w:t>
            </w:r>
          </w:p>
        </w:tc>
      </w:tr>
      <w:tr>
        <w:trPr>
          <w:tblHeader w:val="false"/>
        </w:trPr>
        <w:tc>
          <w:tcPr>
            <w:tcW w:type="dxa" w:w="1900"/>
            <w:shd w:fill="DCE6F1" w:color="auto" w:val="clear"/>
            <w:tcMar>
              <w:top w:type="dxa" w:w="60"/>
              <w:left w:type="dxa" w:w="100"/>
              <w:bottom w:type="dxa" w:w="60"/>
              <w:right w:type="dxa" w:w="100"/>
            </w:tcMar>
          </w:tcPr>
          <w:p>
            <w:r>
              <w:rPr>
                <w:b/>
                <w:bCs/>
                <w:sz w:val="19"/>
                <w:szCs w:val="19"/>
              </w:rPr>
              <w:t xml:space="preserve">Economic capital / space of capital (Waitkus &amp; Groh-Samberg 2018, 2019)</w:t>
            </w:r>
          </w:p>
        </w:tc>
        <w:tc>
          <w:tcPr>
            <w:tcW w:type="dxa" w:w="2500"/>
            <w:tcMar>
              <w:top w:type="dxa" w:w="60"/>
              <w:left w:type="dxa" w:w="100"/>
              <w:bottom w:type="dxa" w:w="60"/>
              <w:right w:type="dxa" w:w="100"/>
            </w:tcMar>
          </w:tcPr>
          <w:p>
            <w:r>
              <w:rPr>
                <w:b w:val="false"/>
                <w:bCs w:val="false"/>
                <w:sz w:val="19"/>
                <w:szCs w:val="19"/>
              </w:rPr>
              <w:t xml:space="preserve">Ingreso y riqueza como capital económico en un espacio de clases</w:t>
            </w:r>
          </w:p>
        </w:tc>
        <w:tc>
          <w:tcPr>
            <w:tcW w:type="dxa" w:w="2300"/>
            <w:tcMar>
              <w:top w:type="dxa" w:w="60"/>
              <w:left w:type="dxa" w:w="100"/>
              <w:bottom w:type="dxa" w:w="60"/>
              <w:right w:type="dxa" w:w="100"/>
            </w:tcMar>
          </w:tcPr>
          <w:p>
            <w:r>
              <w:rPr>
                <w:b w:val="false"/>
                <w:bCs w:val="false"/>
                <w:sz w:val="19"/>
                <w:szCs w:val="19"/>
              </w:rPr>
              <w:t xml:space="preserve">Enlaza con el análisis de clase (Bourdieu, Savage)</w:t>
            </w:r>
          </w:p>
        </w:tc>
        <w:tc>
          <w:tcPr>
            <w:tcW w:type="dxa" w:w="2326"/>
            <w:tcMar>
              <w:top w:type="dxa" w:w="60"/>
              <w:left w:type="dxa" w:w="100"/>
              <w:bottom w:type="dxa" w:w="60"/>
              <w:right w:type="dxa" w:w="100"/>
            </w:tcMar>
          </w:tcPr>
          <w:p>
            <w:r>
              <w:rPr>
                <w:b w:val="false"/>
                <w:bCs w:val="false"/>
                <w:sz w:val="19"/>
                <w:szCs w:val="19"/>
              </w:rPr>
              <w:t xml:space="preserve">Mezcla lo económico con lo cultural; enfoque de clase más que de hogar</w:t>
            </w:r>
          </w:p>
        </w:tc>
      </w:tr>
      <w:tr>
        <w:trPr>
          <w:tblHeader w:val="false"/>
        </w:trPr>
        <w:tc>
          <w:tcPr>
            <w:tcW w:type="dxa" w:w="1900"/>
            <w:shd w:fill="DCE6F1" w:color="auto" w:val="clear"/>
            <w:tcMar>
              <w:top w:type="dxa" w:w="60"/>
              <w:left w:type="dxa" w:w="100"/>
              <w:bottom w:type="dxa" w:w="60"/>
              <w:right w:type="dxa" w:w="100"/>
            </w:tcMar>
          </w:tcPr>
          <w:p>
            <w:r>
              <w:rPr>
                <w:b/>
                <w:bCs/>
                <w:sz w:val="19"/>
                <w:szCs w:val="19"/>
              </w:rPr>
              <w:t xml:space="preserve">Joint income–wealth distribution (Fisher et al. 2022; OECD 2021)</w:t>
            </w:r>
          </w:p>
        </w:tc>
        <w:tc>
          <w:tcPr>
            <w:tcW w:type="dxa" w:w="2500"/>
            <w:tcMar>
              <w:top w:type="dxa" w:w="60"/>
              <w:left w:type="dxa" w:w="100"/>
              <w:bottom w:type="dxa" w:w="60"/>
              <w:right w:type="dxa" w:w="100"/>
            </w:tcMar>
          </w:tcPr>
          <w:p>
            <w:r>
              <w:rPr>
                <w:b w:val="false"/>
                <w:bCs w:val="false"/>
                <w:sz w:val="19"/>
                <w:szCs w:val="19"/>
              </w:rPr>
              <w:t xml:space="preserve">Ingreso, consumo y riqueza conjuntos</w:t>
            </w:r>
          </w:p>
        </w:tc>
        <w:tc>
          <w:tcPr>
            <w:tcW w:type="dxa" w:w="2300"/>
            <w:tcMar>
              <w:top w:type="dxa" w:w="60"/>
              <w:left w:type="dxa" w:w="100"/>
              <w:bottom w:type="dxa" w:w="60"/>
              <w:right w:type="dxa" w:w="100"/>
            </w:tcMar>
          </w:tcPr>
          <w:p>
            <w:r>
              <w:rPr>
                <w:b w:val="false"/>
                <w:bCs w:val="false"/>
                <w:sz w:val="19"/>
                <w:szCs w:val="19"/>
              </w:rPr>
              <w:t xml:space="preserve">Justifica mirar varias dimensiones a la vez</w:t>
            </w:r>
          </w:p>
        </w:tc>
        <w:tc>
          <w:tcPr>
            <w:tcW w:type="dxa" w:w="2326"/>
            <w:tcMar>
              <w:top w:type="dxa" w:w="60"/>
              <w:left w:type="dxa" w:w="100"/>
              <w:bottom w:type="dxa" w:w="60"/>
              <w:right w:type="dxa" w:w="100"/>
            </w:tcMar>
          </w:tcPr>
          <w:p>
            <w:r>
              <w:rPr>
                <w:b w:val="false"/>
                <w:bCs w:val="false"/>
                <w:sz w:val="19"/>
                <w:szCs w:val="19"/>
              </w:rPr>
              <w:t xml:space="preserve">Variable-céntrico; no habla de seguridad</w:t>
            </w:r>
          </w:p>
        </w:tc>
      </w:tr>
      <w:tr>
        <w:trPr>
          <w:tblHeader w:val="false"/>
        </w:trPr>
        <w:tc>
          <w:tcPr>
            <w:tcW w:type="dxa" w:w="1900"/>
            <w:shd w:fill="DCE6F1" w:color="auto" w:val="clear"/>
            <w:tcMar>
              <w:top w:type="dxa" w:w="60"/>
              <w:left w:type="dxa" w:w="100"/>
              <w:bottom w:type="dxa" w:w="60"/>
              <w:right w:type="dxa" w:w="100"/>
            </w:tcMar>
          </w:tcPr>
          <w:p>
            <w:r>
              <w:rPr>
                <w:b/>
                <w:bCs/>
                <w:sz w:val="19"/>
                <w:szCs w:val="19"/>
              </w:rPr>
              <w:t xml:space="preserve">Socioeconomic position (Galobardes et al. 2006)</w:t>
            </w:r>
          </w:p>
        </w:tc>
        <w:tc>
          <w:tcPr>
            <w:tcW w:type="dxa" w:w="2500"/>
            <w:tcMar>
              <w:top w:type="dxa" w:w="60"/>
              <w:left w:type="dxa" w:w="100"/>
              <w:bottom w:type="dxa" w:w="60"/>
              <w:right w:type="dxa" w:w="100"/>
            </w:tcMar>
          </w:tcPr>
          <w:p>
            <w:r>
              <w:rPr>
                <w:b w:val="false"/>
                <w:bCs w:val="false"/>
                <w:sz w:val="19"/>
                <w:szCs w:val="19"/>
              </w:rPr>
              <w:t xml:space="preserve">Todos los indicadores de posición social (educación, ocupación, ingreso, riqueza)</w:t>
            </w:r>
          </w:p>
        </w:tc>
        <w:tc>
          <w:tcPr>
            <w:tcW w:type="dxa" w:w="2300"/>
            <w:tcMar>
              <w:top w:type="dxa" w:w="60"/>
              <w:left w:type="dxa" w:w="100"/>
              <w:bottom w:type="dxa" w:w="60"/>
              <w:right w:type="dxa" w:w="100"/>
            </w:tcMar>
          </w:tcPr>
          <w:p>
            <w:r>
              <w:rPr>
                <w:b w:val="false"/>
                <w:bCs w:val="false"/>
                <w:sz w:val="19"/>
                <w:szCs w:val="19"/>
              </w:rPr>
              <w:t xml:space="preserve">Término estándar en salud y desarrollo infantil</w:t>
            </w:r>
          </w:p>
        </w:tc>
        <w:tc>
          <w:tcPr>
            <w:tcW w:type="dxa" w:w="2326"/>
            <w:tcMar>
              <w:top w:type="dxa" w:w="60"/>
              <w:left w:type="dxa" w:w="100"/>
              <w:bottom w:type="dxa" w:w="60"/>
              <w:right w:type="dxa" w:w="100"/>
            </w:tcMar>
          </w:tcPr>
          <w:p>
            <w:r>
              <w:rPr>
                <w:b w:val="false"/>
                <w:bCs w:val="false"/>
                <w:sz w:val="19"/>
                <w:szCs w:val="19"/>
              </w:rPr>
              <w:t xml:space="preserve">Demasiado amplio; incluye lo cultural que la tesis quiere separar</w:t>
            </w:r>
          </w:p>
        </w:tc>
      </w:tr>
      <w:tr>
        <w:trPr>
          <w:tblHeader w:val="false"/>
        </w:trPr>
        <w:tc>
          <w:tcPr>
            <w:tcW w:type="dxa" w:w="1900"/>
            <w:shd w:fill="DCE6F1" w:color="auto" w:val="clear"/>
            <w:tcMar>
              <w:top w:type="dxa" w:w="60"/>
              <w:left w:type="dxa" w:w="100"/>
              <w:bottom w:type="dxa" w:w="60"/>
              <w:right w:type="dxa" w:w="100"/>
            </w:tcMar>
          </w:tcPr>
          <w:p>
            <w:r>
              <w:rPr>
                <w:b/>
                <w:bCs/>
                <w:sz w:val="19"/>
                <w:szCs w:val="19"/>
              </w:rPr>
              <w:t xml:space="preserve">Economic (in)security (Western et al. 2012; Hacker et al. 2014)</w:t>
            </w:r>
          </w:p>
        </w:tc>
        <w:tc>
          <w:tcPr>
            <w:tcW w:type="dxa" w:w="2500"/>
            <w:tcMar>
              <w:top w:type="dxa" w:w="60"/>
              <w:left w:type="dxa" w:w="100"/>
              <w:bottom w:type="dxa" w:w="60"/>
              <w:right w:type="dxa" w:w="100"/>
            </w:tcMar>
          </w:tcPr>
          <w:p>
            <w:r>
              <w:rPr>
                <w:b w:val="false"/>
                <w:bCs w:val="false"/>
                <w:sz w:val="19"/>
                <w:szCs w:val="19"/>
              </w:rPr>
              <w:t xml:space="preserve">Exposición a pérdidas y capacidad de amortiguarlas</w:t>
            </w:r>
          </w:p>
        </w:tc>
        <w:tc>
          <w:tcPr>
            <w:tcW w:type="dxa" w:w="2300"/>
            <w:tcMar>
              <w:top w:type="dxa" w:w="60"/>
              <w:left w:type="dxa" w:w="100"/>
              <w:bottom w:type="dxa" w:w="60"/>
              <w:right w:type="dxa" w:w="100"/>
            </w:tcMar>
          </w:tcPr>
          <w:p>
            <w:r>
              <w:rPr>
                <w:b w:val="false"/>
                <w:bCs w:val="false"/>
                <w:sz w:val="19"/>
                <w:szCs w:val="19"/>
              </w:rPr>
              <w:t xml:space="preserve">Nombra la función que la tesis estudia</w:t>
            </w:r>
          </w:p>
        </w:tc>
        <w:tc>
          <w:tcPr>
            <w:tcW w:type="dxa" w:w="2326"/>
            <w:tcMar>
              <w:top w:type="dxa" w:w="60"/>
              <w:left w:type="dxa" w:w="100"/>
              <w:bottom w:type="dxa" w:w="60"/>
              <w:right w:type="dxa" w:w="100"/>
            </w:tcMar>
          </w:tcPr>
          <w:p>
            <w:r>
              <w:rPr>
                <w:b w:val="false"/>
                <w:bCs w:val="false"/>
                <w:sz w:val="19"/>
                <w:szCs w:val="19"/>
              </w:rPr>
              <w:t xml:space="preserve">Es una propiedad o un outcome, no una posición</w:t>
            </w:r>
          </w:p>
        </w:tc>
      </w:tr>
    </w:tbl>
    <w:p>
      <w:pPr>
        <w:spacing w:after="100"/>
      </w:pPr>
    </w:p>
    <w:p>
      <w:pPr>
        <w:pStyle w:val="Heading1"/>
      </w:pPr>
      <w:r>
        <w:t xml:space="preserve">3. Propuesta: dos niveles conceptuales</w:t>
      </w:r>
    </w:p>
    <w:p>
      <w:pPr>
        <w:spacing w:after="100"/>
      </w:pPr>
      <w:r>
        <w:t xml:space="preserve">Se propone separar la </w:t>
      </w:r>
      <w:r>
        <w:rPr>
          <w:b/>
          <w:bCs/>
        </w:rPr>
        <w:t xml:space="preserve">posición</w:t>
      </w:r>
      <w:r>
        <w:t xml:space="preserve"> de su </w:t>
      </w:r>
      <w:r>
        <w:rPr>
          <w:b/>
          <w:bCs/>
        </w:rPr>
        <w:t xml:space="preserve">propiedad funcional</w:t>
      </w:r>
      <w:r>
        <w:t xml:space="preserve">:</w:t>
      </w:r>
    </w:p>
    <w:p>
      <w:pPr>
        <w:pStyle w:val="ListParagraph"/>
        <w:numPr>
          <w:ilvl w:val="0"/>
          <w:numId w:val="2"/>
        </w:numPr>
        <w:spacing w:after="60"/>
      </w:pPr>
      <w:r>
        <w:rPr>
          <w:b/>
          <w:bCs/>
        </w:rPr>
        <w:t xml:space="preserve">Posición económica del hogar (household economic position)</w:t>
      </w:r>
      <w:r>
        <w:t xml:space="preserve"> es la configuración conjunta de la inserción laboral del hogar (ocupación, formalidad, estabilidad) y de su situación financiera (ingreso, activos y deudas). Es la noción weberiana de </w:t>
      </w:r>
      <w:r>
        <w:rPr>
          <w:i/>
          <w:iCs/>
        </w:rPr>
        <w:t xml:space="preserve">market situation</w:t>
      </w:r>
      <w:r>
        <w:t xml:space="preserve"> que el propio Keister invoca, extendida al trabajo porque en Chile la informalidad condiciona el acceso al crédito y al seguro (OECD 2024).</w:t>
      </w:r>
    </w:p>
    <w:p>
      <w:pPr>
        <w:pStyle w:val="ListParagraph"/>
        <w:numPr>
          <w:ilvl w:val="0"/>
          <w:numId w:val="2"/>
        </w:numPr>
        <w:spacing w:after="60"/>
      </w:pPr>
      <w:r>
        <w:rPr>
          <w:b/>
          <w:bCs/>
        </w:rPr>
        <w:t xml:space="preserve">Seguridad o inseguridad económica</w:t>
      </w:r>
      <w:r>
        <w:t xml:space="preserve"> es la capacidad de esa posición para evitar shocks (exposición), absorberlos (amortiguación) y recomponerse (recuperación). Es la función que conecta la posición con los outcomes (Western et al. 2012; Pfeffer &amp; Hällsten 2012 sobre la función de seguro de la riqueza).</w:t>
      </w:r>
    </w:p>
    <w:p>
      <w:pPr>
        <w:spacing w:after="100"/>
      </w:pPr>
      <w:r>
        <w:t xml:space="preserve">Esto ordena el argumento: </w:t>
      </w:r>
      <w:r>
        <w:rPr>
          <w:i/>
          <w:iCs/>
        </w:rPr>
        <w:t xml:space="preserve">la posición económica es compuesta y configuracional (Keister); lo que importa de ella es su capacidad protectora en el tiempo (literatura de inseguridad); y esa capacidad se traduce en desigualdades de desarrollo infantil y educativo (A1, A2) y en trayectorias financieras divergentes (A3).</w:t>
      </w:r>
    </w:p>
    <w:p>
      <w:pPr>
        <w:pStyle w:val="Heading2"/>
      </w:pPr>
      <w:r>
        <w:t xml:space="preserve">Por qué no quedarse solo con “financial status”</w:t>
      </w:r>
    </w:p>
    <w:p>
      <w:pPr>
        <w:pStyle w:val="ListParagraph"/>
        <w:numPr>
          <w:ilvl w:val="0"/>
          <w:numId w:val="2"/>
        </w:numPr>
        <w:spacing w:after="60"/>
      </w:pPr>
      <w:r>
        <w:t xml:space="preserve">Keister et al. separan deliberadamente el estatus financiero de las relaciones de empleo. En Chile, el hallazgo central del A1 es justamente ocupacional: la precariedad crónica y la recuperación tienen el mismo costo. Sin la dimensión laboral, el concepto no cubre el artículo más avanzado.</w:t>
      </w:r>
    </w:p>
    <w:p>
      <w:pPr>
        <w:pStyle w:val="ListParagraph"/>
        <w:numPr>
          <w:ilvl w:val="0"/>
          <w:numId w:val="2"/>
        </w:numPr>
        <w:spacing w:after="60"/>
      </w:pPr>
      <w:r>
        <w:t xml:space="preserve">Su análisis es transversal. Los autores piden explícitamente, como agenda futura, (i) estudiar cómo los hogares se mueven entre configuraciones financieras en el tiempo y (ii) usar la pertenencia a configuraciones para predecir outcomes. </w:t>
      </w:r>
      <w:r>
        <w:rPr>
          <w:b/>
          <w:bCs/>
        </w:rPr>
        <w:t xml:space="preserve">El A3 responde a (i) y los A1 y A2 a (ii).</w:t>
      </w:r>
      <w:r>
        <w:t xml:space="preserve"> Este es un gancho directo para posicionar la tesis.</w:t>
      </w:r>
    </w:p>
    <w:p>
      <w:pPr>
        <w:pStyle w:val="Heading2"/>
      </w:pPr>
      <w:r>
        <w:t xml:space="preserve">Por qué no “socioeconomic position”</w:t>
      </w:r>
    </w:p>
    <w:p>
      <w:pPr>
        <w:pStyle w:val="ListParagraph"/>
        <w:numPr>
          <w:ilvl w:val="0"/>
          <w:numId w:val="2"/>
        </w:numPr>
        <w:spacing w:after="60"/>
      </w:pPr>
      <w:r>
        <w:t xml:space="preserve">Incluye la educación y el capital cultural. La tesis argumenta que los índices compuestos de SES diluyen lo propiamente económico, y la comisión pidió comparar contra SES convencional. Conviene mantener la distinción: la posición económica es un subdominio del SEP.</w:t>
      </w:r>
    </w:p>
    <w:p>
      <w:pPr>
        <w:pStyle w:val="Heading1"/>
      </w:pPr>
      <w:r>
        <w:t xml:space="preserve">4. Opciones de título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3226"/>
      </w:tblGrid>
      <w:tr>
        <w:trPr>
          <w:tblHeader/>
        </w:trPr>
        <w:tc>
          <w:tcPr>
            <w:tcW w:type="dxa" w:w="600"/>
            <w:shd w:fill="1F4E79" w:color="auto" w:val="clear"/>
            <w:tcMar>
              <w:top w:type="dxa" w:w="60"/>
              <w:left w:type="dxa" w:w="100"/>
              <w:bottom w:type="dxa" w:w="60"/>
              <w:right w:type="dxa" w:w="100"/>
            </w:tcMar>
          </w:tcPr>
          <w:p>
            <w:r>
              <w:rPr>
                <w:b/>
                <w:bCs/>
                <w:color w:val="FFFFFF"/>
              </w:rPr>
              <w:t xml:space="preserve">#</w:t>
            </w:r>
          </w:p>
        </w:tc>
        <w:tc>
          <w:tcPr>
            <w:tcW w:type="dxa" w:w="5200"/>
            <w:shd w:fill="1F4E79" w:color="auto" w:val="clear"/>
            <w:tcMar>
              <w:top w:type="dxa" w:w="60"/>
              <w:left w:type="dxa" w:w="100"/>
              <w:bottom w:type="dxa" w:w="60"/>
              <w:right w:type="dxa" w:w="100"/>
            </w:tcMar>
          </w:tcPr>
          <w:p>
            <w:r>
              <w:rPr>
                <w:b/>
                <w:bCs/>
                <w:color w:val="FFFFFF"/>
              </w:rPr>
              <w:t xml:space="preserve">Título</w:t>
            </w:r>
          </w:p>
        </w:tc>
        <w:tc>
          <w:tcPr>
            <w:tcW w:type="dxa" w:w="3226"/>
            <w:shd w:fill="1F4E79" w:color="auto" w:val="clear"/>
            <w:tcMar>
              <w:top w:type="dxa" w:w="60"/>
              <w:left w:type="dxa" w:w="100"/>
              <w:bottom w:type="dxa" w:w="60"/>
              <w:right w:type="dxa" w:w="100"/>
            </w:tcMar>
          </w:tcPr>
          <w:p>
            <w:r>
              <w:rPr>
                <w:b/>
                <w:bCs/>
                <w:color w:val="FFFFFF"/>
              </w:rPr>
              <w:t xml:space="preserve">Comentario</w:t>
            </w:r>
          </w:p>
        </w:tc>
      </w:tr>
      <w:tr>
        <w:trPr>
          <w:tblHeader w:val="false"/>
        </w:trPr>
        <w:tc>
          <w:tcPr>
            <w:tcW w:type="dxa" w:w="600"/>
            <w:shd w:fill="DCE6F1" w:color="auto" w:val="clear"/>
            <w:tcMar>
              <w:top w:type="dxa" w:w="60"/>
              <w:left w:type="dxa" w:w="100"/>
              <w:bottom w:type="dxa" w:w="60"/>
              <w:right w:type="dxa" w:w="100"/>
            </w:tcMar>
          </w:tcPr>
          <w:p>
            <w:r>
              <w:rPr>
                <w:b/>
                <w:bCs/>
                <w:sz w:val="19"/>
                <w:szCs w:val="19"/>
              </w:rPr>
              <w:t xml:space="preserve">1</w:t>
            </w:r>
          </w:p>
        </w:tc>
        <w:tc>
          <w:tcPr>
            <w:tcW w:type="dxa" w:w="5200"/>
            <w:tcMar>
              <w:top w:type="dxa" w:w="60"/>
              <w:left w:type="dxa" w:w="100"/>
              <w:bottom w:type="dxa" w:w="60"/>
              <w:right w:type="dxa" w:w="100"/>
            </w:tcMar>
          </w:tcPr>
          <w:p>
            <w:r>
              <w:rPr>
                <w:b w:val="false"/>
                <w:bCs w:val="false"/>
                <w:sz w:val="19"/>
                <w:szCs w:val="19"/>
              </w:rPr>
              <w:t xml:space="preserve">Household Economic Configurations and the Unequal Security of Family Futures in Chile</w:t>
            </w:r>
          </w:p>
        </w:tc>
        <w:tc>
          <w:tcPr>
            <w:tcW w:type="dxa" w:w="3226"/>
            <w:tcMar>
              <w:top w:type="dxa" w:w="60"/>
              <w:left w:type="dxa" w:w="100"/>
              <w:bottom w:type="dxa" w:w="60"/>
              <w:right w:type="dxa" w:w="100"/>
            </w:tcMar>
          </w:tcPr>
          <w:p>
            <w:r>
              <w:rPr>
                <w:b w:val="false"/>
                <w:bCs w:val="false"/>
                <w:sz w:val="19"/>
                <w:szCs w:val="19"/>
              </w:rPr>
              <w:t xml:space="preserve">Cambio mínimo (wealth → economic). Conserva el lenguaje configuracional. Recomendada.</w:t>
            </w:r>
          </w:p>
        </w:tc>
      </w:tr>
      <w:tr>
        <w:trPr>
          <w:tblHeader w:val="false"/>
        </w:trPr>
        <w:tc>
          <w:tcPr>
            <w:tcW w:type="dxa" w:w="600"/>
            <w:shd w:fill="DCE6F1" w:color="auto" w:val="clear"/>
            <w:tcMar>
              <w:top w:type="dxa" w:w="60"/>
              <w:left w:type="dxa" w:w="100"/>
              <w:bottom w:type="dxa" w:w="60"/>
              <w:right w:type="dxa" w:w="100"/>
            </w:tcMar>
          </w:tcPr>
          <w:p>
            <w:r>
              <w:rPr>
                <w:b/>
                <w:bCs/>
                <w:sz w:val="19"/>
                <w:szCs w:val="19"/>
              </w:rPr>
              <w:t xml:space="preserve">2</w:t>
            </w:r>
          </w:p>
        </w:tc>
        <w:tc>
          <w:tcPr>
            <w:tcW w:type="dxa" w:w="5200"/>
            <w:tcMar>
              <w:top w:type="dxa" w:w="60"/>
              <w:left w:type="dxa" w:w="100"/>
              <w:bottom w:type="dxa" w:w="60"/>
              <w:right w:type="dxa" w:w="100"/>
            </w:tcMar>
          </w:tcPr>
          <w:p>
            <w:r>
              <w:rPr>
                <w:b w:val="false"/>
                <w:bCs w:val="false"/>
                <w:sz w:val="19"/>
                <w:szCs w:val="19"/>
              </w:rPr>
              <w:t xml:space="preserve">Beyond Wealth: Household Economic Positions and the Unequal Security of Family Futures in Chile</w:t>
            </w:r>
          </w:p>
        </w:tc>
        <w:tc>
          <w:tcPr>
            <w:tcW w:type="dxa" w:w="3226"/>
            <w:tcMar>
              <w:top w:type="dxa" w:w="60"/>
              <w:left w:type="dxa" w:w="100"/>
              <w:bottom w:type="dxa" w:w="60"/>
              <w:right w:type="dxa" w:w="100"/>
            </w:tcMar>
          </w:tcPr>
          <w:p>
            <w:r>
              <w:rPr>
                <w:b w:val="false"/>
                <w:bCs w:val="false"/>
                <w:sz w:val="19"/>
                <w:szCs w:val="19"/>
              </w:rPr>
              <w:t xml:space="preserve">Explicita el giro; más legible para la comisión</w:t>
            </w:r>
          </w:p>
        </w:tc>
      </w:tr>
      <w:tr>
        <w:trPr>
          <w:tblHeader w:val="false"/>
        </w:trPr>
        <w:tc>
          <w:tcPr>
            <w:tcW w:type="dxa" w:w="600"/>
            <w:shd w:fill="DCE6F1" w:color="auto" w:val="clear"/>
            <w:tcMar>
              <w:top w:type="dxa" w:w="60"/>
              <w:left w:type="dxa" w:w="100"/>
              <w:bottom w:type="dxa" w:w="60"/>
              <w:right w:type="dxa" w:w="100"/>
            </w:tcMar>
          </w:tcPr>
          <w:p>
            <w:r>
              <w:rPr>
                <w:b/>
                <w:bCs/>
                <w:sz w:val="19"/>
                <w:szCs w:val="19"/>
              </w:rPr>
              <w:t xml:space="preserve">3</w:t>
            </w:r>
          </w:p>
        </w:tc>
        <w:tc>
          <w:tcPr>
            <w:tcW w:type="dxa" w:w="5200"/>
            <w:tcMar>
              <w:top w:type="dxa" w:w="60"/>
              <w:left w:type="dxa" w:w="100"/>
              <w:bottom w:type="dxa" w:w="60"/>
              <w:right w:type="dxa" w:w="100"/>
            </w:tcMar>
          </w:tcPr>
          <w:p>
            <w:r>
              <w:rPr>
                <w:b w:val="false"/>
                <w:bCs w:val="false"/>
                <w:sz w:val="19"/>
                <w:szCs w:val="19"/>
              </w:rPr>
              <w:t xml:space="preserve">Configurations of Economic (In)Security: Households, Children, and Unequal Futures in Chile</w:t>
            </w:r>
          </w:p>
        </w:tc>
        <w:tc>
          <w:tcPr>
            <w:tcW w:type="dxa" w:w="3226"/>
            <w:tcMar>
              <w:top w:type="dxa" w:w="60"/>
              <w:left w:type="dxa" w:w="100"/>
              <w:bottom w:type="dxa" w:w="60"/>
              <w:right w:type="dxa" w:w="100"/>
            </w:tcMar>
          </w:tcPr>
          <w:p>
            <w:r>
              <w:rPr>
                <w:b w:val="false"/>
                <w:bCs w:val="false"/>
                <w:sz w:val="19"/>
                <w:szCs w:val="19"/>
              </w:rPr>
              <w:t xml:space="preserve">Pone la inseguridad en el centro; nombra los outcomes</w:t>
            </w:r>
          </w:p>
        </w:tc>
      </w:tr>
      <w:tr>
        <w:trPr>
          <w:tblHeader w:val="false"/>
        </w:trPr>
        <w:tc>
          <w:tcPr>
            <w:tcW w:type="dxa" w:w="600"/>
            <w:shd w:fill="DCE6F1" w:color="auto" w:val="clear"/>
            <w:tcMar>
              <w:top w:type="dxa" w:w="60"/>
              <w:left w:type="dxa" w:w="100"/>
              <w:bottom w:type="dxa" w:w="60"/>
              <w:right w:type="dxa" w:w="100"/>
            </w:tcMar>
          </w:tcPr>
          <w:p>
            <w:r>
              <w:rPr>
                <w:b/>
                <w:bCs/>
                <w:sz w:val="19"/>
                <w:szCs w:val="19"/>
              </w:rPr>
              <w:t xml:space="preserve">4</w:t>
            </w:r>
          </w:p>
        </w:tc>
        <w:tc>
          <w:tcPr>
            <w:tcW w:type="dxa" w:w="5200"/>
            <w:tcMar>
              <w:top w:type="dxa" w:w="60"/>
              <w:left w:type="dxa" w:w="100"/>
              <w:bottom w:type="dxa" w:w="60"/>
              <w:right w:type="dxa" w:w="100"/>
            </w:tcMar>
          </w:tcPr>
          <w:p>
            <w:r>
              <w:rPr>
                <w:b w:val="false"/>
                <w:bCs w:val="false"/>
                <w:sz w:val="19"/>
                <w:szCs w:val="19"/>
              </w:rPr>
              <w:t xml:space="preserve">Configuraciones económicas de los hogares y la seguridad desigual del futuro familiar en Chile</w:t>
            </w:r>
          </w:p>
        </w:tc>
        <w:tc>
          <w:tcPr>
            <w:tcW w:type="dxa" w:w="3226"/>
            <w:tcMar>
              <w:top w:type="dxa" w:w="60"/>
              <w:left w:type="dxa" w:w="100"/>
              <w:bottom w:type="dxa" w:w="60"/>
              <w:right w:type="dxa" w:w="100"/>
            </w:tcMar>
          </w:tcPr>
          <w:p>
            <w:r>
              <w:rPr>
                <w:b w:val="false"/>
                <w:bCs w:val="false"/>
                <w:sz w:val="19"/>
                <w:szCs w:val="19"/>
              </w:rPr>
              <w:t xml:space="preserve">Versión en español de la opción 1</w:t>
            </w:r>
          </w:p>
        </w:tc>
      </w:tr>
    </w:tbl>
    <w:p>
      <w:pPr>
        <w:spacing w:after="100"/>
      </w:pPr>
    </w:p>
    <w:p>
      <w:pPr>
        <w:spacing w:after="100"/>
      </w:pPr>
      <w:r>
        <w:t xml:space="preserve">Se descarta mantener </w:t>
      </w:r>
      <w:r>
        <w:rPr>
          <w:i/>
          <w:iCs/>
        </w:rPr>
        <w:t xml:space="preserve">wealth</w:t>
      </w:r>
      <w:r>
        <w:t xml:space="preserve"> en el título: invitaría a la misma objeción de la comisión (“¿dónde está la riqueza?”) en dos de los tres artículos.</w:t>
      </w:r>
    </w:p>
    <w:p>
      <w:pPr>
        <w:pStyle w:val="Heading1"/>
      </w:pPr>
      <w:r>
        <w:t xml:space="preserve">5. Borrador de problematización (para la lámina 2 y el capítulo introductorio)</w:t>
      </w:r>
    </w:p>
    <w:p>
      <w:pPr>
        <w:spacing w:after="100"/>
      </w:pPr>
      <w:r>
        <w:t xml:space="preserve">En Chile, la desigualdad que importa para el futuro de las familias no se agota en cuánto tienen los hogares en un momento dado. Hogares con ingresos similares pueden ocupar posiciones de seguridad muy distintas según cómo combinen su inserción laboral, sus fuentes de ingreso, sus activos y sus deudas. Una familia con empleo formal y vivienda propia no enfrenta el mismo horizonte que otra de ingreso equivalente que depende del trabajo informal y del crédito de consumo. Sin embargo, la investigación sobre estratificación en América Latina ha tendido a resumir la posición económica en indicadores únicos, como el ingreso, el quintil o índices compuestos de estatus socioeconómico. Esos indicadores ocultan las combinaciones cruzadas de ventaja y vulnerabilidad.</w:t>
      </w:r>
    </w:p>
    <w:p>
      <w:pPr>
        <w:spacing w:after="100"/>
      </w:pPr>
      <w:r>
        <w:t xml:space="preserve">Esta tesis propone estudiar la </w:t>
      </w:r>
      <w:r>
        <w:rPr>
          <w:b/>
          <w:bCs/>
        </w:rPr>
        <w:t xml:space="preserve">posición económica del hogar como una configuración</w:t>
      </w:r>
      <w:r>
        <w:t xml:space="preserve"> y preguntarse por su propiedad más consecuente: su capacidad de proveer </w:t>
      </w:r>
      <w:r>
        <w:rPr>
          <w:b/>
          <w:bCs/>
        </w:rPr>
        <w:t xml:space="preserve">seguridad económica</w:t>
      </w:r>
      <w:r>
        <w:t xml:space="preserve">, es decir, de evitar shocks, absorberlos y recomponerse tras ellos. En un contexto de protección social incompleta, alta informalidad y expansión del crédito de consumo, esa capacidad está en buena medida privatizada: depende de lo que cada hogar logra ensamblar. La pregunta general es </w:t>
      </w:r>
      <w:r>
        <w:rPr>
          <w:i/>
          <w:iCs/>
        </w:rPr>
        <w:t xml:space="preserve">cómo las configuraciones de la posición económica de los hogares producen grados desiguales de seguridad, y cómo esa desigualdad se transmite al desarrollo de niños y jóvenes y a las trayectorias financieras de las familias.</w:t>
      </w:r>
    </w:p>
    <w:p>
      <w:pPr>
        <w:spacing w:after="100"/>
      </w:pPr>
      <w:r>
        <w:t xml:space="preserve">Los tres artículos abordan esa pregunta en tres escalas. El primero sigue a los hogares en el tiempo y muestra que el costo de la precariedad en el desarrollo infantil no se revierte con la recuperación económica, mientras los activos operan como amortiguador. El segundo estudia la movilidad escolar como un hecho económico del hogar y su efecto sobre las expectativas educativas. El tercero reconstruye el espacio de configuraciones de activos y deudas y los caminos que llevan a posiciones más seguras o más frágiles.</w:t>
      </w:r>
    </w:p>
    <w:p>
      <w:pPr>
        <w:pStyle w:val="Heading1"/>
      </w:pPr>
      <w:r>
        <w:t xml:space="preserve">6. Mapa de literatura para conectar la tesis</w:t>
      </w:r>
    </w:p>
    <w:p>
      <w:pPr>
        <w:spacing w:after="100"/>
      </w:pPr>
      <w:r>
        <w:rPr>
          <w:i/>
          <w:iCs/>
        </w:rPr>
        <w:t xml:space="preserve">Referencias encontradas en esta búsqueda. Las marcadas con (verificar) requieren confirmar autores o datos antes de citarlas.</w:t>
      </w:r>
    </w:p>
    <w:p>
      <w:pPr>
        <w:pStyle w:val="Heading2"/>
      </w:pPr>
      <w:r>
        <w:t xml:space="preserve">A. Posición financiera configuracional</w:t>
      </w:r>
    </w:p>
    <w:p>
      <w:pPr>
        <w:pStyle w:val="ListParagraph"/>
        <w:numPr>
          <w:ilvl w:val="0"/>
          <w:numId w:val="2"/>
        </w:numPr>
        <w:spacing w:after="60"/>
      </w:pPr>
      <w:r>
        <w:t xml:space="preserve">Keister, Moody &amp; Qiu (2026). Rethinking Financial Status: A Comprehensive Case-Based Approach. </w:t>
      </w:r>
      <w:r>
        <w:rPr>
          <w:i/>
          <w:iCs/>
        </w:rPr>
        <w:t xml:space="preserve">Social Currents</w:t>
      </w:r>
      <w:r>
        <w:t xml:space="preserve"> 13(2). Ancla principal.</w:t>
      </w:r>
      <w:r>
        <w:rPr>
          <w:color w:val="1F4E79"/>
          <w:sz w:val="16"/>
          <w:szCs w:val="16"/>
        </w:rPr>
        <w:t xml:space="preserve">  ↗ doi.org/10.1177/23294965261431768</w:t>
      </w:r>
    </w:p>
    <w:p>
      <w:pPr>
        <w:pStyle w:val="ListParagraph"/>
        <w:numPr>
          <w:ilvl w:val="0"/>
          <w:numId w:val="2"/>
        </w:numPr>
        <w:spacing w:after="60"/>
      </w:pPr>
      <w:r>
        <w:t xml:space="preserve">Waitkus &amp; Groh-Samberg (2019). The Space of Economic and Cultural Capital: A Latent Class Analysis for Germany. Springer.</w:t>
      </w:r>
      <w:r>
        <w:rPr>
          <w:color w:val="1F4E79"/>
          <w:sz w:val="16"/>
          <w:szCs w:val="16"/>
        </w:rPr>
        <w:t xml:space="preserve">  ↗ link.springer.com/chapter/10.1007/978-3-030-15387-8_6</w:t>
      </w:r>
    </w:p>
    <w:p>
      <w:pPr>
        <w:pStyle w:val="ListParagraph"/>
        <w:numPr>
          <w:ilvl w:val="0"/>
          <w:numId w:val="2"/>
        </w:numPr>
        <w:spacing w:after="60"/>
      </w:pPr>
      <w:r>
        <w:t xml:space="preserve">Waitkus, Savage &amp; Toft (2025). Wealth and Class Analysis: Exploitation, Closure and Exclusion. </w:t>
      </w:r>
      <w:r>
        <w:rPr>
          <w:i/>
          <w:iCs/>
        </w:rPr>
        <w:t xml:space="preserve">Sociology</w:t>
      </w:r>
      <w:r>
        <w:t xml:space="preserve">.</w:t>
      </w:r>
      <w:r>
        <w:rPr>
          <w:color w:val="1F4E79"/>
          <w:sz w:val="16"/>
          <w:szCs w:val="16"/>
        </w:rPr>
        <w:t xml:space="preserve">  ↗ journals.sagepub.com/doi/10.1177/00380385241275842</w:t>
      </w:r>
    </w:p>
    <w:p>
      <w:pPr>
        <w:pStyle w:val="ListParagraph"/>
        <w:numPr>
          <w:ilvl w:val="0"/>
          <w:numId w:val="2"/>
        </w:numPr>
        <w:spacing w:after="60"/>
      </w:pPr>
      <w:r>
        <w:t xml:space="preserve">Lersch &amp; Groh-Samberg (2023). The long reach of class origin on financial investments and net worth. </w:t>
      </w:r>
      <w:r>
        <w:rPr>
          <w:i/>
          <w:iCs/>
        </w:rPr>
        <w:t xml:space="preserve">Acta Sociologica</w:t>
      </w:r>
      <w:r>
        <w:t xml:space="preserve">.</w:t>
      </w:r>
      <w:r>
        <w:rPr>
          <w:color w:val="1F4E79"/>
          <w:sz w:val="16"/>
          <w:szCs w:val="16"/>
        </w:rPr>
        <w:t xml:space="preserve">  ↗ doi.org/10.1177/00016993221129792</w:t>
      </w:r>
    </w:p>
    <w:p>
      <w:pPr>
        <w:pStyle w:val="ListParagraph"/>
        <w:numPr>
          <w:ilvl w:val="0"/>
          <w:numId w:val="2"/>
        </w:numPr>
        <w:spacing w:after="60"/>
      </w:pPr>
      <w:r>
        <w:t xml:space="preserve">Alzuabi et al. (2024). Modelling the composition of household portfolios: A latent class approach. </w:t>
      </w:r>
      <w:r>
        <w:rPr>
          <w:i/>
          <w:iCs/>
        </w:rPr>
        <w:t xml:space="preserve">Canadian Journal of Economics</w:t>
      </w:r>
      <w:r>
        <w:t xml:space="preserve">.</w:t>
      </w:r>
      <w:r>
        <w:rPr>
          <w:color w:val="1F4E79"/>
          <w:sz w:val="16"/>
          <w:szCs w:val="16"/>
        </w:rPr>
        <w:t xml:space="preserve">  ↗ onlinelibrary.wiley.com/doi/10.1111/caje.12691</w:t>
      </w:r>
    </w:p>
    <w:p>
      <w:pPr>
        <w:pStyle w:val="ListParagraph"/>
        <w:numPr>
          <w:ilvl w:val="0"/>
          <w:numId w:val="2"/>
        </w:numPr>
        <w:spacing w:after="60"/>
      </w:pPr>
      <w:r>
        <w:t xml:space="preserve">Pietrolucci (2023; 2025). Not all wealth is the same / educational wealth divide in Europe. (Ya están en tu carpeta Art1/Bibliography.)</w:t>
      </w:r>
    </w:p>
    <w:p>
      <w:pPr>
        <w:pStyle w:val="Heading2"/>
      </w:pPr>
      <w:r>
        <w:t xml:space="preserve">B. Distribución conjunta de ingreso y riqueza</w:t>
      </w:r>
    </w:p>
    <w:p>
      <w:pPr>
        <w:pStyle w:val="ListParagraph"/>
        <w:numPr>
          <w:ilvl w:val="0"/>
          <w:numId w:val="2"/>
        </w:numPr>
        <w:spacing w:after="60"/>
      </w:pPr>
      <w:r>
        <w:t xml:space="preserve">Fisher, Johnson, Smeeding &amp; Thompson (2022). Inequality in 3-D: Income, Consumption, and Wealth. </w:t>
      </w:r>
      <w:r>
        <w:rPr>
          <w:i/>
          <w:iCs/>
        </w:rPr>
        <w:t xml:space="preserve">Review of Income and Wealth</w:t>
      </w:r>
      <w:r>
        <w:t xml:space="preserve">.</w:t>
      </w:r>
      <w:r>
        <w:rPr>
          <w:color w:val="1F4E79"/>
          <w:sz w:val="16"/>
          <w:szCs w:val="16"/>
        </w:rPr>
        <w:t xml:space="preserve">  ↗ onlinelibrary.wiley.com/doi/abs/10.1111/roiw.12509</w:t>
      </w:r>
    </w:p>
    <w:p>
      <w:pPr>
        <w:pStyle w:val="ListParagraph"/>
        <w:numPr>
          <w:ilvl w:val="0"/>
          <w:numId w:val="2"/>
        </w:numPr>
        <w:spacing w:after="60"/>
      </w:pPr>
      <w:r>
        <w:t xml:space="preserve">OECD (2021). Redistribution from a joint income-wealth perspective.</w:t>
      </w:r>
      <w:r>
        <w:rPr>
          <w:color w:val="1F4E79"/>
          <w:sz w:val="16"/>
          <w:szCs w:val="16"/>
        </w:rPr>
        <w:t xml:space="preserve">  ↗ oecd.org</w:t>
      </w:r>
    </w:p>
    <w:p>
      <w:pPr>
        <w:pStyle w:val="Heading2"/>
      </w:pPr>
      <w:r>
        <w:t xml:space="preserve">C. Riqueza en la estratificación y su función de seguro</w:t>
      </w:r>
    </w:p>
    <w:p>
      <w:pPr>
        <w:pStyle w:val="ListParagraph"/>
        <w:numPr>
          <w:ilvl w:val="0"/>
          <w:numId w:val="2"/>
        </w:numPr>
        <w:spacing w:after="60"/>
      </w:pPr>
      <w:r>
        <w:t xml:space="preserve">Killewald, Pfeffer &amp; Schachner (2017). Wealth Inequality and Accumulation. </w:t>
      </w:r>
      <w:r>
        <w:rPr>
          <w:i/>
          <w:iCs/>
        </w:rPr>
        <w:t xml:space="preserve">Annual Review of Sociology</w:t>
      </w:r>
      <w:r>
        <w:t xml:space="preserve"> 43.</w:t>
      </w:r>
      <w:r>
        <w:rPr>
          <w:color w:val="1F4E79"/>
          <w:sz w:val="16"/>
          <w:szCs w:val="16"/>
        </w:rPr>
        <w:t xml:space="preserve">  ↗ annualreviews.org/content/journals/10.1146/annurev-soc-060116-053331</w:t>
      </w:r>
    </w:p>
    <w:p>
      <w:pPr>
        <w:pStyle w:val="ListParagraph"/>
        <w:numPr>
          <w:ilvl w:val="0"/>
          <w:numId w:val="2"/>
        </w:numPr>
        <w:spacing w:after="60"/>
      </w:pPr>
      <w:r>
        <w:t xml:space="preserve">Pfeffer &amp; Hällsten (2012). Mobility Regimes and Parental Wealth: The United States, Germany, and Sweden in Comparison.</w:t>
      </w:r>
      <w:r>
        <w:rPr>
          <w:color w:val="1F4E79"/>
          <w:sz w:val="16"/>
          <w:szCs w:val="16"/>
        </w:rPr>
        <w:t xml:space="preserve">  ↗ papers.ssrn.com/abstract_id=2166784</w:t>
      </w:r>
    </w:p>
    <w:p>
      <w:pPr>
        <w:pStyle w:val="ListParagraph"/>
        <w:numPr>
          <w:ilvl w:val="0"/>
          <w:numId w:val="2"/>
        </w:numPr>
        <w:spacing w:after="60"/>
      </w:pPr>
      <w:r>
        <w:t xml:space="preserve">Hällsten &amp; Pfeffer (2017). Grand Advantage. </w:t>
      </w:r>
      <w:r>
        <w:rPr>
          <w:i/>
          <w:iCs/>
        </w:rPr>
        <w:t xml:space="preserve">American Sociological Review</w:t>
      </w:r>
      <w:r>
        <w:t xml:space="preserve">.</w:t>
      </w:r>
      <w:r>
        <w:rPr>
          <w:color w:val="1F4E79"/>
          <w:sz w:val="16"/>
          <w:szCs w:val="16"/>
        </w:rPr>
        <w:t xml:space="preserve">  ↗ doi.org/10.1177/0003122417695791</w:t>
      </w:r>
    </w:p>
    <w:p>
      <w:pPr>
        <w:pStyle w:val="ListParagraph"/>
        <w:numPr>
          <w:ilvl w:val="0"/>
          <w:numId w:val="2"/>
        </w:numPr>
        <w:spacing w:after="60"/>
      </w:pPr>
      <w:r>
        <w:t xml:space="preserve">Hällsten &amp; Thaning (2022). Wealth as One of the “Big Four” SES Dimensions in Intergenerational Transmissions. </w:t>
      </w:r>
      <w:r>
        <w:rPr>
          <w:i/>
          <w:iCs/>
        </w:rPr>
        <w:t xml:space="preserve">Social Forces</w:t>
      </w:r>
      <w:r>
        <w:t xml:space="preserve"> 100(4).</w:t>
      </w:r>
      <w:r>
        <w:rPr>
          <w:color w:val="1F4E79"/>
          <w:sz w:val="16"/>
          <w:szCs w:val="16"/>
        </w:rPr>
        <w:t xml:space="preserve">  ↗ academic.oup.com/sf/article/100/4/1533/6313258</w:t>
      </w:r>
    </w:p>
    <w:p>
      <w:pPr>
        <w:pStyle w:val="ListParagraph"/>
        <w:numPr>
          <w:ilvl w:val="0"/>
          <w:numId w:val="2"/>
        </w:numPr>
        <w:spacing w:after="60"/>
      </w:pPr>
      <w:r>
        <w:t xml:space="preserve">Müller et al. (2023). Wealth Stratification and the Insurance Function of Wealth. Editorial, </w:t>
      </w:r>
      <w:r>
        <w:rPr>
          <w:i/>
          <w:iCs/>
        </w:rPr>
        <w:t xml:space="preserve">Social Inclusion</w:t>
      </w:r>
      <w:r>
        <w:t xml:space="preserve"> 11(1). (verificar coautores)</w:t>
      </w:r>
      <w:r>
        <w:rPr>
          <w:color w:val="1F4E79"/>
          <w:sz w:val="16"/>
          <w:szCs w:val="16"/>
        </w:rPr>
        <w:t xml:space="preserve">  ↗ cogitatiopress.com/socialinclusion/article/view/6680</w:t>
      </w:r>
    </w:p>
    <w:p>
      <w:pPr>
        <w:pStyle w:val="Heading2"/>
      </w:pPr>
      <w:r>
        <w:t xml:space="preserve">D. Inseguridad e inestabilidad económica</w:t>
      </w:r>
    </w:p>
    <w:p>
      <w:pPr>
        <w:pStyle w:val="ListParagraph"/>
        <w:numPr>
          <w:ilvl w:val="0"/>
          <w:numId w:val="2"/>
        </w:numPr>
        <w:spacing w:after="60"/>
      </w:pPr>
      <w:r>
        <w:t xml:space="preserve">Western, Bloome, Sosnaud &amp; Tach (2012). Economic Insecurity and Social Stratification. </w:t>
      </w:r>
      <w:r>
        <w:rPr>
          <w:i/>
          <w:iCs/>
        </w:rPr>
        <w:t xml:space="preserve">Annual Review of Sociology</w:t>
      </w:r>
      <w:r>
        <w:t xml:space="preserve"> 38. Referencia central para el nivel 2.</w:t>
      </w:r>
      <w:r>
        <w:rPr>
          <w:color w:val="1F4E79"/>
          <w:sz w:val="16"/>
          <w:szCs w:val="16"/>
        </w:rPr>
        <w:t xml:space="preserve">  ↗ annualreviews.org/content/journals/10.1146/annurev-soc-071811-145434</w:t>
      </w:r>
    </w:p>
    <w:p>
      <w:pPr>
        <w:pStyle w:val="ListParagraph"/>
        <w:numPr>
          <w:ilvl w:val="0"/>
          <w:numId w:val="2"/>
        </w:numPr>
        <w:spacing w:after="60"/>
      </w:pPr>
      <w:r>
        <w:t xml:space="preserve">Hacker et al. (2014). The Economic Security Index: A New Measure for Research and Policy Analysis. </w:t>
      </w:r>
      <w:r>
        <w:rPr>
          <w:i/>
          <w:iCs/>
        </w:rPr>
        <w:t xml:space="preserve">Review of Income and Wealth</w:t>
      </w:r>
      <w:r>
        <w:t xml:space="preserve">.</w:t>
      </w:r>
      <w:r>
        <w:rPr>
          <w:color w:val="1F4E79"/>
          <w:sz w:val="16"/>
          <w:szCs w:val="16"/>
        </w:rPr>
        <w:t xml:space="preserve">  ↗ onlinelibrary.wiley.com/doi/10.1111/roiw.12053</w:t>
      </w:r>
    </w:p>
    <w:p>
      <w:pPr>
        <w:pStyle w:val="ListParagraph"/>
        <w:numPr>
          <w:ilvl w:val="0"/>
          <w:numId w:val="2"/>
        </w:numPr>
        <w:spacing w:after="60"/>
      </w:pPr>
      <w:r>
        <w:t xml:space="preserve">Petrov &amp; Romaguera-de-la-Cruz (2025). Measuring economic insecurity by combining income and wealth. </w:t>
      </w:r>
      <w:r>
        <w:rPr>
          <w:i/>
          <w:iCs/>
        </w:rPr>
        <w:t xml:space="preserve">Review of Economics of the Household</w:t>
      </w:r>
      <w:r>
        <w:t xml:space="preserve"> 23(1).</w:t>
      </w:r>
      <w:r>
        <w:rPr>
          <w:color w:val="1F4E79"/>
          <w:sz w:val="16"/>
          <w:szCs w:val="16"/>
        </w:rPr>
        <w:t xml:space="preserve">  ↗ link.springer.com/article/10.1007/s11150-024-09700-1</w:t>
      </w:r>
    </w:p>
    <w:p>
      <w:pPr>
        <w:pStyle w:val="ListParagraph"/>
        <w:numPr>
          <w:ilvl w:val="0"/>
          <w:numId w:val="2"/>
        </w:numPr>
        <w:spacing w:after="60"/>
      </w:pPr>
      <w:r>
        <w:t xml:space="preserve">Credit, Debt, and Inequality (2018). </w:t>
      </w:r>
      <w:r>
        <w:rPr>
          <w:i/>
          <w:iCs/>
        </w:rPr>
        <w:t xml:space="preserve">Annual Review of Sociology</w:t>
      </w:r>
      <w:r>
        <w:t xml:space="preserve">. (verificar autoría: Dwyer)</w:t>
      </w:r>
      <w:r>
        <w:rPr>
          <w:color w:val="1F4E79"/>
          <w:sz w:val="16"/>
          <w:szCs w:val="16"/>
        </w:rPr>
        <w:t xml:space="preserve">  ↗ annualreviews.org/content/journals/10.1146/annurev-soc-060116-053420</w:t>
      </w:r>
    </w:p>
    <w:p>
      <w:pPr>
        <w:pStyle w:val="ListParagraph"/>
        <w:numPr>
          <w:ilvl w:val="0"/>
          <w:numId w:val="2"/>
        </w:numPr>
        <w:spacing w:after="60"/>
      </w:pPr>
      <w:r>
        <w:t xml:space="preserve">Hill et al. (2013). The Consequences of Income Instability for Children’s Well-Being. </w:t>
      </w:r>
      <w:r>
        <w:rPr>
          <w:i/>
          <w:iCs/>
        </w:rPr>
        <w:t xml:space="preserve">Child Development Perspectives</w:t>
      </w:r>
      <w:r>
        <w:t xml:space="preserve">.</w:t>
      </w:r>
      <w:r>
        <w:rPr>
          <w:color w:val="1F4E79"/>
          <w:sz w:val="16"/>
          <w:szCs w:val="16"/>
        </w:rPr>
        <w:t xml:space="preserve">  ↗ srcd.onlinelibrary.wiley.com/doi/10.1111/cdep.12018</w:t>
      </w:r>
    </w:p>
    <w:p>
      <w:pPr>
        <w:pStyle w:val="ListParagraph"/>
        <w:numPr>
          <w:ilvl w:val="0"/>
          <w:numId w:val="2"/>
        </w:numPr>
        <w:spacing w:after="60"/>
      </w:pPr>
      <w:r>
        <w:t xml:space="preserve">An Introduction to Household Economic Instability and Social Policy (2017). </w:t>
      </w:r>
      <w:r>
        <w:rPr>
          <w:i/>
          <w:iCs/>
        </w:rPr>
        <w:t xml:space="preserve">Social Service Review</w:t>
      </w:r>
      <w:r>
        <w:t xml:space="preserve"> 91(3), número especial. (verificar autores)</w:t>
      </w:r>
      <w:r>
        <w:rPr>
          <w:color w:val="1F4E79"/>
          <w:sz w:val="16"/>
          <w:szCs w:val="16"/>
        </w:rPr>
        <w:t xml:space="preserve">  ↗ journals.uchicago.edu/doi/full/10.1086/694110</w:t>
      </w:r>
    </w:p>
    <w:p>
      <w:pPr>
        <w:pStyle w:val="ListParagraph"/>
        <w:numPr>
          <w:ilvl w:val="0"/>
          <w:numId w:val="2"/>
        </w:numPr>
        <w:spacing w:after="60"/>
      </w:pPr>
      <w:r>
        <w:t xml:space="preserve">Family Income Level, Variability, and Trend as Predictors of Child Achievement and Behavior (2021). </w:t>
      </w:r>
      <w:r>
        <w:rPr>
          <w:i/>
          <w:iCs/>
        </w:rPr>
        <w:t xml:space="preserve">Demography</w:t>
      </w:r>
      <w:r>
        <w:t xml:space="preserve"> 58(4). (verificar autores)</w:t>
      </w:r>
      <w:r>
        <w:rPr>
          <w:color w:val="1F4E79"/>
          <w:sz w:val="16"/>
          <w:szCs w:val="16"/>
        </w:rPr>
        <w:t xml:space="preserve">  ↗ read.dukeupress.edu/demography/article/58/4/1499/173902</w:t>
      </w:r>
    </w:p>
    <w:p>
      <w:pPr>
        <w:pStyle w:val="Heading2"/>
      </w:pPr>
      <w:r>
        <w:t xml:space="preserve">E. Riqueza, deuda y niñez (ya en tu bibliografía del A1)</w:t>
      </w:r>
    </w:p>
    <w:p>
      <w:pPr>
        <w:pStyle w:val="ListParagraph"/>
        <w:numPr>
          <w:ilvl w:val="0"/>
          <w:numId w:val="2"/>
        </w:numPr>
        <w:spacing w:after="60"/>
      </w:pPr>
      <w:r>
        <w:t xml:space="preserve">Gibson-Davis, Keister &amp; Gennetian (2021); Gibson-Davis et al. (2022, 2026) sobre net worth poverty; Keister et al. (2024) sobre pobreza de patrimonio neto e inseguridad alimentaria; Miller et al. (2021); Shanks &amp; McLoyd (2024).</w:t>
      </w:r>
    </w:p>
    <w:p>
      <w:pPr>
        <w:pStyle w:val="Heading2"/>
      </w:pPr>
      <w:r>
        <w:t xml:space="preserve">F. América Latina y Chile</w:t>
      </w:r>
    </w:p>
    <w:p>
      <w:pPr>
        <w:pStyle w:val="ListParagraph"/>
        <w:numPr>
          <w:ilvl w:val="0"/>
          <w:numId w:val="2"/>
        </w:numPr>
        <w:spacing w:after="60"/>
      </w:pPr>
      <w:r>
        <w:t xml:space="preserve">López-Calva &amp; Ortiz-Juárez (2014). A vulnerability approach to the definition of the middle class. </w:t>
      </w:r>
      <w:r>
        <w:rPr>
          <w:i/>
          <w:iCs/>
        </w:rPr>
        <w:t xml:space="preserve">Journal of Economic Inequality</w:t>
      </w:r>
      <w:r>
        <w:t xml:space="preserve">.</w:t>
      </w:r>
      <w:r>
        <w:rPr>
          <w:color w:val="1F4E79"/>
          <w:sz w:val="16"/>
          <w:szCs w:val="16"/>
        </w:rPr>
        <w:t xml:space="preserve">  ↗ link.springer.com/article/10.1007/s10888-012-9240-5</w:t>
      </w:r>
    </w:p>
    <w:p>
      <w:pPr>
        <w:pStyle w:val="ListParagraph"/>
        <w:numPr>
          <w:ilvl w:val="0"/>
          <w:numId w:val="2"/>
        </w:numPr>
        <w:spacing w:after="60"/>
      </w:pPr>
      <w:r>
        <w:t xml:space="preserve">Degrees of vulnerability to poverty: a low-income dynamics approach for Chile. </w:t>
      </w:r>
      <w:r>
        <w:rPr>
          <w:i/>
          <w:iCs/>
        </w:rPr>
        <w:t xml:space="preserve">Journal of Economic Inequality</w:t>
      </w:r>
      <w:r>
        <w:t xml:space="preserve">. (verificar: Prieto; no pude abrir la página porque el sitio limitó el acceso)</w:t>
      </w:r>
      <w:r>
        <w:rPr>
          <w:color w:val="1F4E79"/>
          <w:sz w:val="16"/>
          <w:szCs w:val="16"/>
        </w:rPr>
        <w:t xml:space="preserve">  ↗ link.springer.com/article/10.1007/s10888-023-09611-8</w:t>
      </w:r>
    </w:p>
    <w:p>
      <w:pPr>
        <w:pStyle w:val="ListParagraph"/>
        <w:numPr>
          <w:ilvl w:val="0"/>
          <w:numId w:val="2"/>
        </w:numPr>
        <w:spacing w:after="60"/>
      </w:pPr>
      <w:r>
        <w:t xml:space="preserve">OECD (2024). Informality and Households’ Vulnerabilities in Latin America. (Ya en tu carpeta Article1/Bibliografia.)</w:t>
      </w:r>
    </w:p>
    <w:p>
      <w:pPr>
        <w:pStyle w:val="ListParagraph"/>
        <w:numPr>
          <w:ilvl w:val="0"/>
          <w:numId w:val="2"/>
        </w:numPr>
        <w:spacing w:after="60"/>
      </w:pPr>
      <w:r>
        <w:t xml:space="preserve">Banco Central de Chile, WP 703. Proceso de endeudamiento y sobreendeudamiento de los hogares en Chile.</w:t>
      </w:r>
      <w:r>
        <w:rPr>
          <w:color w:val="1F4E79"/>
          <w:sz w:val="16"/>
          <w:szCs w:val="16"/>
        </w:rPr>
        <w:t xml:space="preserve">  ↗ ideas.repec.org/p/chb/bcchwp/703.html</w:t>
      </w:r>
    </w:p>
    <w:p>
      <w:pPr>
        <w:pStyle w:val="ListParagraph"/>
        <w:numPr>
          <w:ilvl w:val="0"/>
          <w:numId w:val="2"/>
        </w:numPr>
        <w:spacing w:after="60"/>
      </w:pPr>
      <w:r>
        <w:t xml:space="preserve">Modernización capitalista, clases medias y conflicto social: 20 años de estudios sociales del crédito y la deuda en Chile (revisión; verificar autores y revista).</w:t>
      </w:r>
      <w:r>
        <w:rPr>
          <w:color w:val="1F4E79"/>
          <w:sz w:val="16"/>
          <w:szCs w:val="16"/>
        </w:rPr>
        <w:t xml:space="preserve">  ↗ researchgate.net/publication/398467058</w:t>
      </w:r>
    </w:p>
    <w:p>
      <w:pPr>
        <w:pStyle w:val="ListParagraph"/>
        <w:numPr>
          <w:ilvl w:val="0"/>
          <w:numId w:val="2"/>
        </w:numPr>
        <w:spacing w:after="60"/>
      </w:pPr>
      <w:r>
        <w:t xml:space="preserve">Normalización de la deuda y retailización del crédito como pilares del neoliberalismo chileno avanzado. </w:t>
      </w:r>
      <w:r>
        <w:rPr>
          <w:i/>
          <w:iCs/>
        </w:rPr>
        <w:t xml:space="preserve">Iberoamericana</w:t>
      </w:r>
      <w:r>
        <w:t xml:space="preserve">. (verificar autores)</w:t>
      </w:r>
      <w:r>
        <w:rPr>
          <w:color w:val="1F4E79"/>
          <w:sz w:val="16"/>
          <w:szCs w:val="16"/>
        </w:rPr>
        <w:t xml:space="preserve">  ↗ iberoamericana.se/articles/10.16993/iberoamericana.529</w:t>
      </w:r>
    </w:p>
    <w:p>
      <w:pPr>
        <w:pStyle w:val="Heading2"/>
      </w:pPr>
      <w:r>
        <w:t xml:space="preserve">G. Término paraguas</w:t>
      </w:r>
    </w:p>
    <w:p>
      <w:pPr>
        <w:pStyle w:val="ListParagraph"/>
        <w:numPr>
          <w:ilvl w:val="0"/>
          <w:numId w:val="2"/>
        </w:numPr>
        <w:spacing w:after="60"/>
      </w:pPr>
      <w:r>
        <w:t xml:space="preserve">Galobardes et al. (2006). Indicators of socioeconomic position. </w:t>
      </w:r>
      <w:r>
        <w:rPr>
          <w:i/>
          <w:iCs/>
        </w:rPr>
        <w:t xml:space="preserve">Journal of Epidemiology and Community Health</w:t>
      </w:r>
      <w:r>
        <w:t xml:space="preserve"> 60.</w:t>
      </w:r>
    </w:p>
    <w:p>
      <w:pPr>
        <w:pStyle w:val="Heading1"/>
      </w:pPr>
      <w:r>
        <w:t xml:space="preserve">7. Qué hay que decidir</w:t>
      </w:r>
    </w:p>
    <w:p>
      <w:pPr>
        <w:pStyle w:val="ListParagraph"/>
        <w:numPr>
          <w:ilvl w:val="0"/>
          <w:numId w:val="2"/>
        </w:numPr>
        <w:spacing w:after="60"/>
      </w:pPr>
      <w:r>
        <w:t xml:space="preserve">El título: opción 1, 2 o 3.</w:t>
      </w:r>
    </w:p>
    <w:p>
      <w:pPr>
        <w:pStyle w:val="ListParagraph"/>
        <w:numPr>
          <w:ilvl w:val="0"/>
          <w:numId w:val="2"/>
        </w:numPr>
        <w:spacing w:after="60"/>
      </w:pPr>
      <w:r>
        <w:t xml:space="preserve">La terminología en inglés: </w:t>
      </w:r>
      <w:r>
        <w:rPr>
          <w:i/>
          <w:iCs/>
        </w:rPr>
        <w:t xml:space="preserve">household economic position</w:t>
      </w:r>
      <w:r>
        <w:t xml:space="preserve"> (posición) frente a </w:t>
      </w:r>
      <w:r>
        <w:rPr>
          <w:i/>
          <w:iCs/>
        </w:rPr>
        <w:t xml:space="preserve">economic configuration</w:t>
      </w:r>
      <w:r>
        <w:t xml:space="preserve"> (forma empírica). Una propuesta es usar </w:t>
      </w:r>
      <w:r>
        <w:rPr>
          <w:i/>
          <w:iCs/>
        </w:rPr>
        <w:t xml:space="preserve">position</w:t>
      </w:r>
      <w:r>
        <w:t xml:space="preserve"> para el concepto y </w:t>
      </w:r>
      <w:r>
        <w:rPr>
          <w:i/>
          <w:iCs/>
        </w:rPr>
        <w:t xml:space="preserve">configuration</w:t>
      </w:r>
      <w:r>
        <w:t xml:space="preserve"> para su operacionalización.</w:t>
      </w:r>
    </w:p>
    <w:p>
      <w:pPr>
        <w:pStyle w:val="ListParagraph"/>
        <w:numPr>
          <w:ilvl w:val="0"/>
          <w:numId w:val="2"/>
        </w:numPr>
        <w:spacing w:after="60"/>
      </w:pPr>
      <w:r>
        <w:t xml:space="preserve">Si la dimensión laboral entra en la definición de posición económica o queda como determinante externo. La propuesta de esta nota es que entre.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Nota conceptual ·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4E79"/>
      <w:sz w:val="30"/>
      <w:szCs w:val="30"/>
    </w:rPr>
  </w:style>
  <w:style w:type="paragraph" w:styleId="Heading2">
    <w:name w:val="Heading 2"/>
    <w:basedOn w:val="Normal"/>
    <w:next w:val="Normal"/>
    <w:qFormat/>
    <w:pPr>
      <w:spacing w:after="60" w:before="200"/>
      <w:outlineLvl w:val="1"/>
    </w:pPr>
    <w:rPr>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2026-09-27T13:35:18.023Z</dcterms:created>
  <dcterms:modified xsi:type="dcterms:W3CDTF">2026-09-27T13:35:18.023Z</dcterms:modified>
</cp:coreProperties>
</file>

<file path=docProps/custom.xml><?xml version="1.0" encoding="utf-8"?>
<Properties xmlns="http://schemas.openxmlformats.org/officeDocument/2006/custom-properties" xmlns:vt="http://schemas.openxmlformats.org/officeDocument/2006/docPropsVTypes"/>
</file>