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86AB" w14:textId="4AE2811E" w:rsidR="00465282" w:rsidRDefault="00000000">
      <w:pPr>
        <w:jc w:val="center"/>
      </w:pPr>
      <w:r>
        <w:rPr>
          <w:b/>
          <w:color w:val="323232"/>
          <w:sz w:val="30"/>
        </w:rPr>
        <w:t>Frozen DINOv3 Features for Martian Terrain Segmentation: Layer-wise Linear Probing on AI4Mars</w:t>
      </w:r>
    </w:p>
    <w:p w14:paraId="52AA118E" w14:textId="77777777" w:rsidR="00465282" w:rsidRDefault="00000000">
      <w:pPr>
        <w:jc w:val="center"/>
      </w:pPr>
      <w:r>
        <w:rPr>
          <w:b/>
          <w:sz w:val="21"/>
        </w:rPr>
        <w:t>Gonzalo Quispe¹, Gustavo Meza¹, David Rodríguez¹</w:t>
      </w:r>
    </w:p>
    <w:p w14:paraId="617060B5" w14:textId="77777777" w:rsidR="00465282" w:rsidRDefault="00000000">
      <w:pPr>
        <w:jc w:val="center"/>
      </w:pPr>
      <w:r>
        <w:rPr>
          <w:color w:val="5A5A5A"/>
          <w:sz w:val="17"/>
        </w:rPr>
        <w:t>¹Pontificia Universidad Católica del Perú, Lima, Peru</w:t>
        <w:br/>
      </w:r>
      <w:r>
        <w:rPr>
          <w:sz w:val="17"/>
        </w:rPr>
        <w:t>Contact: gquispeo@pucp.edu.pe · meza.gustavo@pucp.edu.pe · david.rodriguezc@pucp.edu.pe</w:t>
      </w:r>
    </w:p>
    <w:p w14:paraId="54F0BB52" w14:textId="77777777" w:rsidR="009C10AA" w:rsidRDefault="009C10AA">
      <w:pPr>
        <w:spacing w:before="100" w:after="40"/>
        <w:rPr>
          <w:b/>
          <w:color w:val="482678"/>
          <w:sz w:val="21"/>
        </w:rPr>
      </w:pPr>
    </w:p>
    <w:p w14:paraId="5F375D34" w14:textId="2530AC9E" w:rsidR="00465282" w:rsidRPr="009C10AA" w:rsidRDefault="00000000" w:rsidP="00A32712">
      <w:pPr>
        <w:keepNext/>
        <w:spacing w:after="40" w:before="40"/>
        <w:jc w:val="both"/>
        <w:rPr>
          <w:rFonts w:ascii="Aptos" w:hAnsi="Aptos"/>
          <w:sz w:val="22"/>
        </w:rPr>
      </w:pPr>
      <w:r w:rsidRPr="009C10AA">
        <w:rPr>
          <w:rFonts w:ascii="Aptos" w:hAnsi="Aptos"/>
          <w:b/>
          <w:sz w:val="22"/>
        </w:rPr>
        <w:t>1. INTRODUCTION</w:t>
      </w:r>
    </w:p>
    <w:p w14:paraId="69FF76B8" w14:textId="77777777" w:rsidR="00465282" w:rsidRPr="009C10AA" w:rsidRDefault="00000000" w:rsidP="00A32712">
      <w:pPr>
        <w:spacing w:after="60"/>
        <w:jc w:val="both"/>
        <w:rPr>
          <w:rFonts w:ascii="Aptos" w:hAnsi="Aptos"/>
          <w:sz w:val="22"/>
        </w:rPr>
      </w:pPr>
      <w:r>
        <w:rPr>
          <w:rFonts w:ascii="Aptos" w:hAnsi="Aptos" w:eastAsia="Aptos"/>
          <w:b w:val="0"/>
          <w:i w:val="0"/>
          <w:sz w:val="20"/>
        </w:rPr>
        <w:t>Autonomous rovers need to recognize the terrain they drive on (soil, bedrock, sand, big rock), but expert labels of Mars are scarce and costly. Self-supervised foundation models such as DINOv3 [1] are pretrained on web images and evaluated mostly on natural-image benchmarks, so it is unclear how well their frozen features transfer to a very different domain: grayscale imagery, repetitive textures and unusual illumination. We study this transfer on AI4Mars [2] with a minimal linear head and then with heavier heads, and ask (i) how well frozen DINOv3 features segment Martian terrain, (ii) whether the result comes from pretraining rather than from the architecture, (iii) which layers carry the useful information and (iv) how much a larger head or fine-tuning adds. Published AI4Mars baselines [3,4] train convolutional or transformer segmenters end to end; none of the seven AI4Mars baseline papers we reviewed uses a frozen foundation backbone (MANTLE [7] does, for binary boulder segmentation on its own MSL data).</w:t>
      </w:r>
    </w:p>
    <w:p w14:paraId="1F1A4249" w14:textId="77777777" w:rsidR="009C10AA" w:rsidRPr="009C10AA" w:rsidRDefault="009C10AA" w:rsidP="00A32712">
      <w:pPr>
        <w:jc w:val="both"/>
        <w:rPr>
          <w:rFonts w:ascii="Aptos" w:hAnsi="Aptos"/>
          <w:sz w:val="22"/>
        </w:rPr>
      </w:pPr>
    </w:p>
    <w:p w14:paraId="5C134DBF" w14:textId="77777777" w:rsidR="00465282" w:rsidRPr="009C10AA" w:rsidRDefault="00000000" w:rsidP="00A32712">
      <w:pPr>
        <w:keepNext/>
        <w:spacing w:after="40" w:before="40"/>
        <w:jc w:val="both"/>
        <w:rPr>
          <w:rFonts w:ascii="Aptos" w:hAnsi="Aptos"/>
          <w:sz w:val="22"/>
        </w:rPr>
      </w:pPr>
      <w:r w:rsidRPr="009C10AA">
        <w:rPr>
          <w:rFonts w:ascii="Aptos" w:hAnsi="Aptos"/>
          <w:b/>
          <w:sz w:val="22"/>
        </w:rPr>
        <w:t>2. METHODOLOGY</w:t>
      </w:r>
    </w:p>
    <w:p w14:paraId="20843C94" w14:textId="77777777" w:rsidR="00465282" w:rsidRPr="009C10AA" w:rsidRDefault="00000000" w:rsidP="00A32712">
      <w:pPr>
        <w:spacing w:after="60"/>
        <w:jc w:val="both"/>
        <w:rPr>
          <w:rFonts w:ascii="Aptos" w:hAnsi="Aptos"/>
          <w:sz w:val="22"/>
        </w:rPr>
      </w:pPr>
      <w:r>
        <w:rPr>
          <w:rFonts w:ascii="Aptos" w:hAnsi="Aptos" w:eastAsia="Aptos"/>
          <w:b/>
          <w:i w:val="0"/>
          <w:sz w:val="20"/>
        </w:rPr>
        <w:t xml:space="preserve">Data. </w:t>
      </w:r>
      <w:r>
        <w:rPr>
          <w:rFonts w:ascii="Aptos" w:hAnsi="Aptos" w:eastAsia="Aptos"/>
          <w:b w:val="0"/>
          <w:i w:val="0"/>
          <w:sz w:val="20"/>
        </w:rPr>
        <w:t xml:space="preserve">We use the Curiosity NavCam subset of AI4Mars [2] at 512×512 px; unlabeled pixels are ignored. Training uses 15,564 images with the crowdsourced labels; layers and epochs are chosen on a validation split of 500 training-set images held out by acquisition time; the official 322-image expert test set is used only to confirm, in its three variants M1, M2 and M3 (agreement of at least 1, 2 or 3 experts), reported separately and scored at native label resolution. </w:t>
      </w:r>
    </w:p>
    <w:p w14:paraId="69FF76B8" w14:textId="77777777" w:rsidR="00465282" w:rsidRPr="009C10AA" w:rsidRDefault="00000000" w:rsidP="00A32712">
      <w:pPr>
        <w:keepNext w:val="0"/>
        <w:spacing w:after="60" w:before="0"/>
        <w:jc w:val="both"/>
        <w:rPr>
          <w:rFonts w:ascii="Aptos" w:hAnsi="Aptos"/>
          <w:sz w:val="22"/>
        </w:rPr>
      </w:pPr>
      <w:r>
        <w:rPr>
          <w:rFonts w:ascii="Aptos" w:hAnsi="Aptos" w:eastAsia="Aptos"/>
          <w:b/>
          <w:i w:val="0"/>
          <w:sz w:val="20"/>
        </w:rPr>
        <w:t xml:space="preserve">Model. </w:t>
      </w:r>
      <w:r>
        <w:rPr>
          <w:rFonts w:ascii="Aptos" w:hAnsi="Aptos" w:eastAsia="Aptos"/>
          <w:b w:val="0"/>
          <w:i w:val="0"/>
          <w:sz w:val="20"/>
        </w:rPr>
        <w:t xml:space="preserve">DINOv3 ViT-B/16 [1] (86 M parameters) is kept frozen. Patch features are read at blocks 2, 4, 6, 8, 10, 12 and after the final normalization (Fig. 1), and the same linear probe (batch normalization and a 1×1 convolution, 4,612 trainable parameters) is trained on each one [5]. We also train a decoder fusing blocks 3, 6, 9 and 12 (3.5 M parameters) and fine-tune the last 2 or 4 blocks (14 M / 28 M), all with three seeds. </w:t>
      </w:r>
    </w:p>
    <w:p w14:paraId="69FF76B8" w14:textId="77777777" w:rsidR="00465282" w:rsidRPr="009C10AA" w:rsidRDefault="00000000" w:rsidP="00A32712">
      <w:pPr>
        <w:keepNext w:val="0"/>
        <w:spacing w:after="60" w:before="0"/>
        <w:jc w:val="both"/>
        <w:rPr>
          <w:rFonts w:ascii="Aptos" w:hAnsi="Aptos"/>
          <w:sz w:val="22"/>
        </w:rPr>
      </w:pPr>
      <w:r>
        <w:rPr>
          <w:rFonts w:ascii="Aptos" w:hAnsi="Aptos" w:eastAsia="Aptos"/>
          <w:b/>
          <w:i w:val="0"/>
          <w:sz w:val="20"/>
        </w:rPr>
        <w:t xml:space="preserve">Evaluation. </w:t>
      </w:r>
      <w:r>
        <w:rPr>
          <w:rFonts w:ascii="Aptos" w:hAnsi="Aptos" w:eastAsia="Aptos"/>
          <w:b w:val="0"/>
          <w:i w:val="0"/>
          <w:sz w:val="20"/>
        </w:rPr>
        <w:t>We report mIoU over the four classes with 95 % paired bootstrap confidence intervals over images; a difference counts as real if its interval excludes 0 and |Δ| ≥ 0.01. Six hypotheses and their decision rules were written down before the final run; hypotheses that the data do not settle are reported as inconclusive.</w:t>
      </w:r>
    </w:p>
    <w:p w14:paraId="69FF76B8" w14:textId="77777777" w:rsidR="00465282" w:rsidRPr="009C10AA" w:rsidRDefault="00000000" w:rsidP="00A32712">
      <w:pPr>
        <w:keepNext/>
        <w:spacing w:after="20" w:before="0"/>
        <w:jc w:val="center"/>
        <w:rPr>
          <w:rFonts w:ascii="Aptos" w:hAnsi="Aptos"/>
          <w:sz w:val="22"/>
        </w:rPr>
      </w:pPr>
      <w:r>
        <w:rPr>
          <w:rFonts w:ascii="Aptos" w:hAnsi="Aptos" w:eastAsia="Aptos"/>
          <w:b w:val="0"/>
          <w:i w:val="0"/>
          <w:sz w:val="20"/>
        </w:rPr>
      </w:r>
      <w:r>
        <w:drawing>
          <wp:inline xmlns:a="http://schemas.openxmlformats.org/drawingml/2006/main" xmlns:pic="http://schemas.openxmlformats.org/drawingml/2006/picture">
            <wp:extent cx="5400000" cy="1434840"/>
            <wp:docPr id="1" name="Picture 1"/>
            <wp:cNvGraphicFramePr>
              <a:graphicFrameLocks noChangeAspect="1"/>
            </wp:cNvGraphicFramePr>
            <a:graphic>
              <a:graphicData uri="http://schemas.openxmlformats.org/drawingml/2006/picture">
                <pic:pic>
                  <pic:nvPicPr>
                    <pic:cNvPr id="0" name="fig0_method_diagram.png"/>
                    <pic:cNvPicPr/>
                  </pic:nvPicPr>
                  <pic:blipFill>
                    <a:blip r:embed="rId12"/>
                    <a:stretch>
                      <a:fillRect/>
                    </a:stretch>
                  </pic:blipFill>
                  <pic:spPr>
                    <a:xfrm>
                      <a:off x="0" y="0"/>
                      <a:ext cx="5400000" cy="1434840"/>
                    </a:xfrm>
                    <a:prstGeom prst="rect"/>
                  </pic:spPr>
                </pic:pic>
              </a:graphicData>
            </a:graphic>
          </wp:inline>
        </w:drawing>
      </w:r>
    </w:p>
    <w:p w14:paraId="69FF76B8" w14:textId="77777777" w:rsidR="00465282" w:rsidRPr="009C10AA" w:rsidRDefault="00000000" w:rsidP="00A32712">
      <w:pPr>
        <w:keepNext w:val="0"/>
        <w:spacing w:after="80" w:before="0"/>
        <w:jc w:val="center"/>
        <w:rPr>
          <w:rFonts w:ascii="Aptos" w:hAnsi="Aptos"/>
          <w:sz w:val="22"/>
        </w:rPr>
      </w:pPr>
      <w:r>
        <w:rPr>
          <w:rFonts w:ascii="Aptos" w:hAnsi="Aptos" w:eastAsia="Aptos"/>
          <w:b/>
          <w:i w:val="0"/>
          <w:sz w:val="17"/>
        </w:rPr>
        <w:t xml:space="preserve">Fig. 1. </w:t>
      </w:r>
      <w:r>
        <w:rPr>
          <w:rFonts w:ascii="Aptos" w:hAnsi="Aptos" w:eastAsia="Aptos"/>
          <w:b w:val="0"/>
          <w:i w:val="0"/>
          <w:sz w:val="17"/>
        </w:rPr>
        <w:t>Frozen DINOv3 ViT-B/16 with one trained linear probe per tapped layer.</w:t>
      </w:r>
    </w:p>
    <w:p w14:paraId="0258A58B" w14:textId="77777777" w:rsidR="009C10AA" w:rsidRDefault="009C10AA" w:rsidP="00A32712">
      <w:pPr>
        <w:jc w:val="both"/>
        <w:rPr>
          <w:rFonts w:ascii="Aptos" w:hAnsi="Aptos"/>
          <w:b/>
          <w:sz w:val="22"/>
        </w:rPr>
      </w:pPr>
    </w:p>
    <w:p w14:paraId="1C707911" w14:textId="4D6DA4D0" w:rsidR="00465282" w:rsidRPr="009C10AA" w:rsidRDefault="00000000" w:rsidP="00A32712">
      <w:pPr>
        <w:keepNext/>
        <w:spacing w:after="40" w:before="40"/>
        <w:jc w:val="both"/>
        <w:rPr>
          <w:rFonts w:ascii="Aptos" w:hAnsi="Aptos"/>
          <w:sz w:val="22"/>
        </w:rPr>
      </w:pPr>
      <w:r w:rsidRPr="009C10AA">
        <w:rPr>
          <w:rFonts w:ascii="Aptos" w:hAnsi="Aptos"/>
          <w:b/>
          <w:sz w:val="22"/>
        </w:rPr>
        <w:t>3. RESULTS AND DISCUSSION</w:t>
      </w:r>
    </w:p>
    <w:p w14:paraId="5A9BFA96" w14:textId="77777777" w:rsidR="00465282" w:rsidRPr="009C10AA" w:rsidRDefault="00000000" w:rsidP="00A32712">
      <w:pPr>
        <w:spacing w:after="40"/>
        <w:jc w:val="both"/>
        <w:rPr>
          <w:rFonts w:ascii="Aptos" w:hAnsi="Aptos"/>
          <w:sz w:val="22"/>
        </w:rPr>
      </w:pPr>
      <w:r>
        <w:rPr>
          <w:rFonts w:ascii="Aptos" w:hAnsi="Aptos" w:eastAsia="Aptos"/>
          <w:b/>
          <w:i w:val="0"/>
          <w:sz w:val="20"/>
        </w:rPr>
        <w:t xml:space="preserve">Transfer. </w:t>
      </w:r>
      <w:r>
        <w:rPr>
          <w:rFonts w:ascii="Aptos" w:hAnsi="Aptos" w:eastAsia="Aptos"/>
          <w:b w:val="0"/>
          <w:i w:val="0"/>
          <w:sz w:val="20"/>
        </w:rPr>
        <w:t>A linear probe on the final layer reaches mIoU 0.677 / 0.725 on test M1 / M2 (0.651 on validation; 0.125 for always predicting the majority class). On M3 it reaches 0.827, but see Failures.</w:t>
      </w:r>
    </w:p>
    <w:p w14:paraId="69FF76B8" w14:textId="77777777" w:rsidR="00465282" w:rsidRPr="009C10AA" w:rsidRDefault="00000000" w:rsidP="00A32712">
      <w:pPr>
        <w:keepNext w:val="0"/>
        <w:spacing w:after="40" w:before="0"/>
        <w:jc w:val="both"/>
        <w:rPr>
          <w:rFonts w:ascii="Aptos" w:hAnsi="Aptos"/>
          <w:sz w:val="22"/>
        </w:rPr>
      </w:pPr>
      <w:r>
        <w:rPr>
          <w:rFonts w:ascii="Aptos" w:hAnsi="Aptos" w:eastAsia="Aptos"/>
          <w:b/>
          <w:i w:val="0"/>
          <w:sz w:val="20"/>
        </w:rPr>
        <w:t xml:space="preserve">Heavier heads add little. </w:t>
      </w:r>
      <w:r>
        <w:rPr>
          <w:rFonts w:ascii="Aptos" w:hAnsi="Aptos" w:eastAsia="Aptos"/>
          <w:b w:val="0"/>
          <w:i w:val="0"/>
          <w:sz w:val="20"/>
        </w:rPr>
        <w:t>The decoder reaches 0.684 / 0.735 and fine-tuning the last 4 blocks 0.687 / 0.737: at most +0.012 over the probe (decoder minus probe on M1: +0.007, 95 % CI [−0.001, +0.019]). Only 250 labelled images give 99 % of the probe's M1 mIoU obtained with 4,000.</w:t>
      </w:r>
    </w:p>
    <w:p w14:paraId="69FF76B8" w14:textId="77777777" w:rsidR="00465282" w:rsidRPr="009C10AA" w:rsidRDefault="00000000" w:rsidP="00A32712">
      <w:pPr>
        <w:keepNext w:val="0"/>
        <w:spacing w:after="40" w:before="0"/>
        <w:jc w:val="both"/>
        <w:rPr>
          <w:rFonts w:ascii="Aptos" w:hAnsi="Aptos"/>
          <w:sz w:val="22"/>
        </w:rPr>
      </w:pPr>
      <w:r>
        <w:rPr>
          <w:rFonts w:ascii="Aptos" w:hAnsi="Aptos" w:eastAsia="Aptos"/>
          <w:b/>
          <w:i w:val="0"/>
          <w:sz w:val="20"/>
        </w:rPr>
        <w:t xml:space="preserve">Pretraining matters. </w:t>
      </w:r>
      <w:r>
        <w:rPr>
          <w:rFonts w:ascii="Aptos" w:hAnsi="Aptos" w:eastAsia="Aptos"/>
          <w:b w:val="0"/>
          <w:i w:val="0"/>
          <w:sz w:val="20"/>
        </w:rPr>
        <w:t>A random-init ViT-B/16 reaches 0.264 on M1 (DINOv3: +0.413). DINOv2 B/14 reaches 0.664; DINOv3 is +0.013 higher on M1 (95 % CI [+0.002, +0.025]) but not clearly on M2; matching the token grid (DINOv2 at 448 px) leaves the gap unchanged (+0.014 on M1, 95 % CI [+0.003, +0.026]).</w:t>
      </w:r>
    </w:p>
    <w:p w14:paraId="69FF76B8" w14:textId="77777777" w:rsidR="00465282" w:rsidRPr="009C10AA" w:rsidRDefault="00000000" w:rsidP="00A32712">
      <w:pPr>
        <w:keepNext w:val="0"/>
        <w:spacing w:after="40" w:before="0"/>
        <w:jc w:val="both"/>
        <w:rPr>
          <w:rFonts w:ascii="Aptos" w:hAnsi="Aptos"/>
          <w:sz w:val="22"/>
        </w:rPr>
      </w:pPr>
      <w:r>
        <w:rPr>
          <w:rFonts w:ascii="Aptos" w:hAnsi="Aptos" w:eastAsia="Aptos"/>
          <w:b/>
          <w:i w:val="0"/>
          <w:sz w:val="20"/>
        </w:rPr>
        <w:t xml:space="preserve">Published baselines. </w:t>
      </w:r>
      <w:r>
        <w:rPr>
          <w:rFonts w:ascii="Aptos" w:hAnsi="Aptos" w:eastAsia="Aptos"/>
          <w:b w:val="0"/>
          <w:i w:val="0"/>
          <w:sz w:val="20"/>
        </w:rPr>
        <w:t>The probe is level with the 512-px published models and 0.023 / 0.015 below the best (UPerNet Swin-S at 1,024 px [3]) on M1 / M2; fine-tuning the last 4 blocks is 0.013 / 0.003 below, with 0.005–28 M trainable parameters instead of 47–81 M (Table 1). The comparison is indicative: published values are single runs on another split.</w:t>
      </w:r>
    </w:p>
    <w:p w14:paraId="69FF76B8" w14:textId="77777777" w:rsidR="00465282" w:rsidRPr="009C10AA" w:rsidRDefault="00000000" w:rsidP="00A32712">
      <w:pPr>
        <w:keepNext w:val="0"/>
        <w:spacing w:after="40" w:before="0"/>
        <w:jc w:val="both"/>
        <w:rPr>
          <w:rFonts w:ascii="Aptos" w:hAnsi="Aptos"/>
          <w:sz w:val="22"/>
        </w:rPr>
      </w:pPr>
      <w:r>
        <w:rPr>
          <w:rFonts w:ascii="Aptos" w:hAnsi="Aptos" w:eastAsia="Aptos"/>
          <w:b/>
          <w:i w:val="0"/>
          <w:sz w:val="20"/>
        </w:rPr>
        <w:t xml:space="preserve">Layers. </w:t>
      </w:r>
      <w:r>
        <w:rPr>
          <w:rFonts w:ascii="Aptos" w:hAnsi="Aptos" w:eastAsia="Aptos"/>
          <w:b w:val="0"/>
          <w:i w:val="0"/>
          <w:sz w:val="20"/>
        </w:rPr>
        <w:t>mIoU rises with depth and block 6 already gives 98 % of the final M1 value. No intermediate layer beats the last one: the best on validation (block 10) is −0.010 on M1 (95 % CI [−0.021, +0.001]).</w:t>
      </w:r>
    </w:p>
    <w:p w14:paraId="69FF76B8" w14:textId="77777777" w:rsidR="00465282" w:rsidRPr="009C10AA" w:rsidRDefault="00000000" w:rsidP="00A32712">
      <w:pPr>
        <w:keepNext w:val="0"/>
        <w:spacing w:after="40" w:before="0"/>
        <w:jc w:val="both"/>
        <w:rPr>
          <w:rFonts w:ascii="Aptos" w:hAnsi="Aptos"/>
          <w:sz w:val="22"/>
        </w:rPr>
      </w:pPr>
      <w:r>
        <w:rPr>
          <w:rFonts w:ascii="Aptos" w:hAnsi="Aptos" w:eastAsia="Aptos"/>
          <w:b/>
          <w:i w:val="0"/>
          <w:sz w:val="20"/>
        </w:rPr>
        <w:t xml:space="preserve">Label borders. </w:t>
      </w:r>
      <w:r>
        <w:rPr>
          <w:rFonts w:ascii="Aptos" w:hAnsi="Aptos" w:eastAsia="Aptos"/>
          <w:b w:val="0"/>
          <w:i w:val="0"/>
          <w:sz w:val="20"/>
        </w:rPr>
        <w:t>Excluding an 8 px band around label edges raises every head by about 0.025 mIoU on M1 (probe 0.677 → 0.702), consistent with, but not proof of, label noise at region borders.</w:t>
      </w:r>
    </w:p>
    <w:p w14:paraId="69FF76B8" w14:textId="77777777" w:rsidR="00465282" w:rsidRPr="009C10AA" w:rsidRDefault="00000000" w:rsidP="00A32712">
      <w:pPr>
        <w:keepNext w:val="0"/>
        <w:spacing w:after="40" w:before="0"/>
        <w:jc w:val="both"/>
        <w:rPr>
          <w:rFonts w:ascii="Aptos" w:hAnsi="Aptos"/>
          <w:sz w:val="22"/>
        </w:rPr>
      </w:pPr>
      <w:r>
        <w:rPr>
          <w:rFonts w:ascii="Aptos" w:hAnsi="Aptos" w:eastAsia="Aptos"/>
          <w:b/>
          <w:i w:val="0"/>
          <w:sz w:val="20"/>
        </w:rPr>
        <w:t xml:space="preserve">Failures. </w:t>
      </w:r>
      <w:r>
        <w:rPr>
          <w:rFonts w:ascii="Aptos" w:hAnsi="Aptos" w:eastAsia="Aptos"/>
          <w:b w:val="0"/>
          <w:i w:val="0"/>
          <w:sz w:val="20"/>
        </w:rPr>
        <w:t>Big rock is the hardest class (validation IoU 0.24 for the probe against 0.62–0.88 for the others, and 0.13 / 0.12 on test M1 / M2; 69 % of its pixels are predicted as bedrock). It appears in only 5 of the 322 images of M3 (77,698 px): every model finds 96–99 % of them and they differ in false alarms (probe 109 k px, decoder 16 k px), which drives the M3 gap (0.83 vs 0.93); without big rock all models score 0.96–0.97. M3 cannot rank models on this class.</w:t>
      </w:r>
    </w:p>
    <w:p w14:paraId="69FF76B8" w14:textId="77777777" w:rsidR="00465282" w:rsidRPr="009C10AA" w:rsidRDefault="00000000" w:rsidP="00A32712">
      <w:pPr>
        <w:keepNext/>
        <w:spacing w:after="20" w:before="0"/>
        <w:jc w:val="center"/>
        <w:rPr>
          <w:rFonts w:ascii="Aptos" w:hAnsi="Aptos"/>
          <w:sz w:val="22"/>
        </w:rPr>
      </w:pPr>
      <w:r>
        <w:rPr>
          <w:rFonts w:ascii="Aptos" w:hAnsi="Aptos" w:eastAsia="Aptos"/>
          <w:b w:val="0"/>
          <w:i w:val="0"/>
          <w:sz w:val="20"/>
        </w:rPr>
      </w:r>
      <w:r>
        <w:drawing>
          <wp:inline xmlns:a="http://schemas.openxmlformats.org/drawingml/2006/main" xmlns:pic="http://schemas.openxmlformats.org/drawingml/2006/picture">
            <wp:extent cx="2952000" cy="1423651"/>
            <wp:docPr id="2" name="Picture 2"/>
            <wp:cNvGraphicFramePr>
              <a:graphicFrameLocks noChangeAspect="1"/>
            </wp:cNvGraphicFramePr>
            <a:graphic>
              <a:graphicData uri="http://schemas.openxmlformats.org/drawingml/2006/picture">
                <pic:pic>
                  <pic:nvPicPr>
                    <pic:cNvPr id="0" name="fig1a_layers_single.png"/>
                    <pic:cNvPicPr/>
                  </pic:nvPicPr>
                  <pic:blipFill>
                    <a:blip r:embed="rId13"/>
                    <a:stretch>
                      <a:fillRect/>
                    </a:stretch>
                  </pic:blipFill>
                  <pic:spPr>
                    <a:xfrm>
                      <a:off x="0" y="0"/>
                      <a:ext cx="2952000" cy="1423651"/>
                    </a:xfrm>
                    <a:prstGeom prst="rect"/>
                  </pic:spPr>
                </pic:pic>
              </a:graphicData>
            </a:graphic>
          </wp:inline>
        </w:drawing>
      </w:r>
    </w:p>
    <w:p w14:paraId="69FF76B8" w14:textId="77777777" w:rsidR="00465282" w:rsidRPr="009C10AA" w:rsidRDefault="00000000" w:rsidP="00A32712">
      <w:pPr>
        <w:keepNext w:val="0"/>
        <w:spacing w:after="80" w:before="0"/>
        <w:jc w:val="center"/>
        <w:rPr>
          <w:rFonts w:ascii="Aptos" w:hAnsi="Aptos"/>
          <w:sz w:val="22"/>
        </w:rPr>
      </w:pPr>
      <w:r>
        <w:rPr>
          <w:rFonts w:ascii="Aptos" w:hAnsi="Aptos" w:eastAsia="Aptos"/>
          <w:b/>
          <w:i w:val="0"/>
          <w:sz w:val="17"/>
        </w:rPr>
        <w:t xml:space="preserve">Fig. 2. </w:t>
      </w:r>
      <w:r>
        <w:rPr>
          <w:rFonts w:ascii="Aptos" w:hAnsi="Aptos" w:eastAsia="Aptos"/>
          <w:b w:val="0"/>
          <w:i w:val="0"/>
          <w:sz w:val="17"/>
        </w:rPr>
        <w:t>mIoU of the linear probe at each layer of frozen DINOv3 (validation ± sd over 3 seeds; test sets with 95 % bootstrap CI).</w:t>
      </w:r>
    </w:p>
    <w:p w14:paraId="69FF76B8" w14:textId="77777777" w:rsidR="00465282" w:rsidRPr="009C10AA" w:rsidRDefault="00000000" w:rsidP="00A32712">
      <w:pPr>
        <w:keepNext/>
        <w:spacing w:after="40" w:before="0"/>
        <w:jc w:val="center"/>
        <w:rPr>
          <w:rFonts w:ascii="Aptos" w:hAnsi="Aptos"/>
          <w:sz w:val="22"/>
        </w:rPr>
      </w:pPr>
      <w:r>
        <w:rPr>
          <w:rFonts w:ascii="Aptos" w:hAnsi="Aptos" w:eastAsia="Aptos"/>
          <w:b/>
          <w:i w:val="0"/>
          <w:sz w:val="17"/>
        </w:rPr>
        <w:t xml:space="preserve">Table 1. </w:t>
      </w:r>
      <w:r>
        <w:rPr>
          <w:rFonts w:ascii="Aptos" w:hAnsi="Aptos" w:eastAsia="Aptos"/>
          <w:b w:val="0"/>
          <w:i w:val="0"/>
          <w:sz w:val="17"/>
        </w:rPr>
        <w:t>Test mIoU (4 classes), mean ± sd over 3 seeds: heads on frozen DINOv3 (and fine-tuning) versus published end-to-end models. M3 is dominated by big-rock false alarms.</w:t>
      </w:r>
    </w:p>
    <w:tbl>
      <w:tblPr>
        <w:tblW w:type="auto" w:w="0"/>
        <w:jc w:val="center"/>
        <w:tblLayout w:type="fixed"/>
        <w:tblLook w:firstColumn="1" w:firstRow="1" w:lastColumn="0" w:lastRow="0" w:noHBand="0" w:noVBand="1" w:val="04A0"/>
      </w:tblPr>
      <w:tblGrid>
        <w:gridCol w:w="3288"/>
        <w:gridCol w:w="1587"/>
        <w:gridCol w:w="1587"/>
        <w:gridCol w:w="1587"/>
        <w:gridCol w:w="1020"/>
      </w:tblGrid>
      <w:tr>
        <w:tc>
          <w:tcPr>
            <w:tcW w:type="dxa" w:w="3288"/>
            <w:tcBorders>
              <w:top w:val="single" w:sz="8" w:color="808080"/>
              <w:bottom w:val="single" w:sz="2" w:color="808080"/>
            </w:tcBorders>
          </w:tcPr>
          <w:p>
            <w:pPr>
              <w:spacing w:after="0"/>
              <w:jc w:val="left"/>
            </w:pPr>
            <w:r>
              <w:rPr>
                <w:rFonts w:ascii="Aptos" w:hAnsi="Aptos"/>
                <w:b/>
                <w:sz w:val="16"/>
              </w:rPr>
              <w:t>Method</w:t>
            </w:r>
          </w:p>
        </w:tc>
        <w:tc>
          <w:tcPr>
            <w:tcW w:type="dxa" w:w="1587"/>
            <w:tcBorders>
              <w:top w:val="single" w:sz="8" w:color="808080"/>
              <w:bottom w:val="single" w:sz="2" w:color="808080"/>
            </w:tcBorders>
          </w:tcPr>
          <w:p>
            <w:pPr>
              <w:spacing w:after="0"/>
              <w:jc w:val="center"/>
            </w:pPr>
            <w:r>
              <w:rPr>
                <w:rFonts w:ascii="Aptos" w:hAnsi="Aptos"/>
                <w:b/>
                <w:sz w:val="16"/>
              </w:rPr>
              <w:t>M1</w:t>
            </w:r>
          </w:p>
        </w:tc>
        <w:tc>
          <w:tcPr>
            <w:tcW w:type="dxa" w:w="1587"/>
            <w:tcBorders>
              <w:top w:val="single" w:sz="8" w:color="808080"/>
              <w:bottom w:val="single" w:sz="2" w:color="808080"/>
            </w:tcBorders>
          </w:tcPr>
          <w:p>
            <w:pPr>
              <w:spacing w:after="0"/>
              <w:jc w:val="center"/>
            </w:pPr>
            <w:r>
              <w:rPr>
                <w:rFonts w:ascii="Aptos" w:hAnsi="Aptos"/>
                <w:b/>
                <w:sz w:val="16"/>
              </w:rPr>
              <w:t>M2</w:t>
            </w:r>
          </w:p>
        </w:tc>
        <w:tc>
          <w:tcPr>
            <w:tcW w:type="dxa" w:w="1587"/>
            <w:tcBorders>
              <w:top w:val="single" w:sz="8" w:color="808080"/>
              <w:bottom w:val="single" w:sz="2" w:color="808080"/>
            </w:tcBorders>
          </w:tcPr>
          <w:p>
            <w:pPr>
              <w:spacing w:after="0"/>
              <w:jc w:val="center"/>
            </w:pPr>
            <w:r>
              <w:rPr>
                <w:rFonts w:ascii="Aptos" w:hAnsi="Aptos"/>
                <w:b/>
                <w:sz w:val="16"/>
              </w:rPr>
              <w:t>M3</w:t>
            </w:r>
          </w:p>
        </w:tc>
        <w:tc>
          <w:tcPr>
            <w:tcW w:type="dxa" w:w="1020"/>
            <w:tcBorders>
              <w:top w:val="single" w:sz="8" w:color="808080"/>
              <w:bottom w:val="single" w:sz="2" w:color="808080"/>
            </w:tcBorders>
          </w:tcPr>
          <w:p>
            <w:pPr>
              <w:spacing w:after="0"/>
              <w:jc w:val="center"/>
            </w:pPr>
            <w:r>
              <w:rPr>
                <w:rFonts w:ascii="Aptos" w:hAnsi="Aptos"/>
                <w:b/>
                <w:sz w:val="16"/>
              </w:rPr>
              <w:t>Trainable</w:t>
            </w:r>
          </w:p>
        </w:tc>
      </w:tr>
      <w:tr>
        <w:tc>
          <w:tcPr>
            <w:tcW w:type="dxa" w:w="3288"/>
            <w:tcBorders>
              <w:top w:val="single" w:sz="2" w:color="808080"/>
              <w:bottom w:val="single" w:sz="2" w:color="808080"/>
            </w:tcBorders>
          </w:tcPr>
          <w:p>
            <w:pPr>
              <w:spacing w:after="0"/>
              <w:jc w:val="left"/>
            </w:pPr>
            <w:r>
              <w:rPr>
                <w:rFonts w:ascii="Aptos" w:hAnsi="Aptos"/>
                <w:b w:val="0"/>
                <w:sz w:val="16"/>
              </w:rPr>
              <w:t>Majority class</w:t>
            </w:r>
          </w:p>
        </w:tc>
        <w:tc>
          <w:tcPr>
            <w:tcW w:type="dxa" w:w="1587"/>
            <w:tcBorders>
              <w:top w:val="single" w:sz="2" w:color="808080"/>
              <w:bottom w:val="single" w:sz="2" w:color="808080"/>
            </w:tcBorders>
          </w:tcPr>
          <w:p>
            <w:pPr>
              <w:spacing w:after="0"/>
              <w:jc w:val="center"/>
            </w:pPr>
            <w:r>
              <w:rPr>
                <w:rFonts w:ascii="Aptos" w:hAnsi="Aptos"/>
                <w:b w:val="0"/>
                <w:sz w:val="16"/>
              </w:rPr>
              <w:t>0.115</w:t>
            </w:r>
          </w:p>
        </w:tc>
        <w:tc>
          <w:tcPr>
            <w:tcW w:type="dxa" w:w="1587"/>
            <w:tcBorders>
              <w:top w:val="single" w:sz="2" w:color="808080"/>
              <w:bottom w:val="single" w:sz="2" w:color="808080"/>
            </w:tcBorders>
          </w:tcPr>
          <w:p>
            <w:pPr>
              <w:spacing w:after="0"/>
              <w:jc w:val="center"/>
            </w:pPr>
            <w:r>
              <w:rPr>
                <w:rFonts w:ascii="Aptos" w:hAnsi="Aptos"/>
                <w:b w:val="0"/>
                <w:sz w:val="16"/>
              </w:rPr>
              <w:t>0.123</w:t>
            </w:r>
          </w:p>
        </w:tc>
        <w:tc>
          <w:tcPr>
            <w:tcW w:type="dxa" w:w="1587"/>
            <w:tcBorders>
              <w:top w:val="single" w:sz="2" w:color="808080"/>
              <w:bottom w:val="single" w:sz="2" w:color="808080"/>
            </w:tcBorders>
          </w:tcPr>
          <w:p>
            <w:pPr>
              <w:spacing w:after="0"/>
              <w:jc w:val="center"/>
            </w:pPr>
            <w:r>
              <w:rPr>
                <w:rFonts w:ascii="Aptos" w:hAnsi="Aptos"/>
                <w:b w:val="0"/>
                <w:sz w:val="16"/>
              </w:rPr>
              <w:t>0.128</w:t>
            </w:r>
          </w:p>
        </w:tc>
        <w:tc>
          <w:tcPr>
            <w:tcW w:type="dxa" w:w="1020"/>
            <w:tcBorders>
              <w:top w:val="single" w:sz="2" w:color="808080"/>
              <w:bottom w:val="single" w:sz="2" w:color="808080"/>
            </w:tcBorders>
          </w:tcPr>
          <w:p>
            <w:pPr>
              <w:spacing w:after="0"/>
              <w:jc w:val="center"/>
            </w:pPr>
            <w:r>
              <w:rPr>
                <w:rFonts w:ascii="Aptos" w:hAnsi="Aptos"/>
                <w:b w:val="0"/>
                <w:sz w:val="16"/>
              </w:rPr>
              <w:t>–</w:t>
            </w:r>
          </w:p>
        </w:tc>
      </w:tr>
      <w:tr>
        <w:tc>
          <w:tcPr>
            <w:tcW w:type="dxa" w:w="3288"/>
            <w:tcBorders>
              <w:top w:val="single" w:sz="2" w:color="808080"/>
              <w:bottom w:val="single" w:sz="2" w:color="808080"/>
            </w:tcBorders>
          </w:tcPr>
          <w:p>
            <w:pPr>
              <w:spacing w:after="0"/>
              <w:jc w:val="left"/>
            </w:pPr>
            <w:r>
              <w:rPr>
                <w:rFonts w:ascii="Aptos" w:hAnsi="Aptos"/>
                <w:b w:val="0"/>
                <w:sz w:val="16"/>
              </w:rPr>
              <w:t>Probe, block 6</w:t>
            </w:r>
          </w:p>
        </w:tc>
        <w:tc>
          <w:tcPr>
            <w:tcW w:type="dxa" w:w="1587"/>
            <w:tcBorders>
              <w:top w:val="single" w:sz="2" w:color="808080"/>
              <w:bottom w:val="single" w:sz="2" w:color="808080"/>
            </w:tcBorders>
          </w:tcPr>
          <w:p>
            <w:pPr>
              <w:spacing w:after="0"/>
              <w:jc w:val="center"/>
            </w:pPr>
            <w:r>
              <w:rPr>
                <w:rFonts w:ascii="Aptos" w:hAnsi="Aptos"/>
                <w:b w:val="0"/>
                <w:sz w:val="16"/>
              </w:rPr>
              <w:t>0.662 ± 0.001</w:t>
            </w:r>
          </w:p>
        </w:tc>
        <w:tc>
          <w:tcPr>
            <w:tcW w:type="dxa" w:w="1587"/>
            <w:tcBorders>
              <w:top w:val="single" w:sz="2" w:color="808080"/>
              <w:bottom w:val="single" w:sz="2" w:color="808080"/>
            </w:tcBorders>
          </w:tcPr>
          <w:p>
            <w:pPr>
              <w:spacing w:after="0"/>
              <w:jc w:val="center"/>
            </w:pPr>
            <w:r>
              <w:rPr>
                <w:rFonts w:ascii="Aptos" w:hAnsi="Aptos"/>
                <w:b w:val="0"/>
                <w:sz w:val="16"/>
              </w:rPr>
              <w:t>0.719 ± 0.001</w:t>
            </w:r>
          </w:p>
        </w:tc>
        <w:tc>
          <w:tcPr>
            <w:tcW w:type="dxa" w:w="1587"/>
            <w:tcBorders>
              <w:top w:val="single" w:sz="2" w:color="808080"/>
              <w:bottom w:val="single" w:sz="2" w:color="808080"/>
            </w:tcBorders>
          </w:tcPr>
          <w:p>
            <w:pPr>
              <w:spacing w:after="0"/>
              <w:jc w:val="center"/>
            </w:pPr>
            <w:r>
              <w:rPr>
                <w:rFonts w:ascii="Aptos" w:hAnsi="Aptos"/>
                <w:b w:val="0"/>
                <w:sz w:val="16"/>
              </w:rPr>
              <w:t>0.872 ± 0.007</w:t>
            </w:r>
          </w:p>
        </w:tc>
        <w:tc>
          <w:tcPr>
            <w:tcW w:type="dxa" w:w="1020"/>
            <w:tcBorders>
              <w:top w:val="single" w:sz="2" w:color="808080"/>
              <w:bottom w:val="single" w:sz="2" w:color="808080"/>
            </w:tcBorders>
          </w:tcPr>
          <w:p>
            <w:pPr>
              <w:spacing w:after="0"/>
              <w:jc w:val="center"/>
            </w:pPr>
            <w:r>
              <w:rPr>
                <w:rFonts w:ascii="Aptos" w:hAnsi="Aptos"/>
                <w:b w:val="0"/>
                <w:sz w:val="16"/>
              </w:rPr>
              <w:t>4.6 k</w:t>
            </w:r>
          </w:p>
        </w:tc>
      </w:tr>
      <w:tr>
        <w:tc>
          <w:tcPr>
            <w:tcW w:type="dxa" w:w="3288"/>
            <w:tcBorders>
              <w:top w:val="single" w:sz="2" w:color="808080"/>
              <w:bottom w:val="single" w:sz="2" w:color="808080"/>
            </w:tcBorders>
          </w:tcPr>
          <w:p>
            <w:pPr>
              <w:spacing w:after="0"/>
              <w:jc w:val="left"/>
            </w:pPr>
            <w:r>
              <w:rPr>
                <w:rFonts w:ascii="Aptos" w:hAnsi="Aptos"/>
                <w:b/>
                <w:sz w:val="16"/>
              </w:rPr>
              <w:t>Probe, final norm</w:t>
            </w:r>
          </w:p>
        </w:tc>
        <w:tc>
          <w:tcPr>
            <w:tcW w:type="dxa" w:w="1587"/>
            <w:tcBorders>
              <w:top w:val="single" w:sz="2" w:color="808080"/>
              <w:bottom w:val="single" w:sz="2" w:color="808080"/>
            </w:tcBorders>
          </w:tcPr>
          <w:p>
            <w:pPr>
              <w:spacing w:after="0"/>
              <w:jc w:val="center"/>
            </w:pPr>
            <w:r>
              <w:rPr>
                <w:rFonts w:ascii="Aptos" w:hAnsi="Aptos"/>
                <w:b/>
                <w:sz w:val="16"/>
              </w:rPr>
              <w:t>0.677 ± 0.001</w:t>
            </w:r>
          </w:p>
        </w:tc>
        <w:tc>
          <w:tcPr>
            <w:tcW w:type="dxa" w:w="1587"/>
            <w:tcBorders>
              <w:top w:val="single" w:sz="2" w:color="808080"/>
              <w:bottom w:val="single" w:sz="2" w:color="808080"/>
            </w:tcBorders>
          </w:tcPr>
          <w:p>
            <w:pPr>
              <w:spacing w:after="0"/>
              <w:jc w:val="center"/>
            </w:pPr>
            <w:r>
              <w:rPr>
                <w:rFonts w:ascii="Aptos" w:hAnsi="Aptos"/>
                <w:b/>
                <w:sz w:val="16"/>
              </w:rPr>
              <w:t>0.725 ± 0.002</w:t>
            </w:r>
          </w:p>
        </w:tc>
        <w:tc>
          <w:tcPr>
            <w:tcW w:type="dxa" w:w="1587"/>
            <w:tcBorders>
              <w:top w:val="single" w:sz="2" w:color="808080"/>
              <w:bottom w:val="single" w:sz="2" w:color="808080"/>
            </w:tcBorders>
          </w:tcPr>
          <w:p>
            <w:pPr>
              <w:spacing w:after="0"/>
              <w:jc w:val="center"/>
            </w:pPr>
            <w:r>
              <w:rPr>
                <w:rFonts w:ascii="Aptos" w:hAnsi="Aptos"/>
                <w:b/>
                <w:sz w:val="16"/>
              </w:rPr>
              <w:t>0.827 ± 0.018</w:t>
            </w:r>
          </w:p>
        </w:tc>
        <w:tc>
          <w:tcPr>
            <w:tcW w:type="dxa" w:w="1020"/>
            <w:tcBorders>
              <w:top w:val="single" w:sz="2" w:color="808080"/>
              <w:bottom w:val="single" w:sz="2" w:color="808080"/>
            </w:tcBorders>
          </w:tcPr>
          <w:p>
            <w:pPr>
              <w:spacing w:after="0"/>
              <w:jc w:val="center"/>
            </w:pPr>
            <w:r>
              <w:rPr>
                <w:rFonts w:ascii="Aptos" w:hAnsi="Aptos"/>
                <w:b/>
                <w:sz w:val="16"/>
              </w:rPr>
              <w:t>4.6 k</w:t>
            </w:r>
          </w:p>
        </w:tc>
      </w:tr>
      <w:tr>
        <w:tc>
          <w:tcPr>
            <w:tcW w:type="dxa" w:w="3288"/>
            <w:tcBorders>
              <w:top w:val="single" w:sz="2" w:color="808080"/>
              <w:bottom w:val="single" w:sz="2" w:color="808080"/>
            </w:tcBorders>
          </w:tcPr>
          <w:p>
            <w:pPr>
              <w:spacing w:after="0"/>
              <w:jc w:val="left"/>
            </w:pPr>
            <w:r>
              <w:rPr>
                <w:rFonts w:ascii="Aptos" w:hAnsi="Aptos"/>
                <w:b w:val="0"/>
                <w:sz w:val="16"/>
              </w:rPr>
              <w:t>Decoder (blocks 3, 6, 9, 12)</w:t>
            </w:r>
          </w:p>
        </w:tc>
        <w:tc>
          <w:tcPr>
            <w:tcW w:type="dxa" w:w="1587"/>
            <w:tcBorders>
              <w:top w:val="single" w:sz="2" w:color="808080"/>
              <w:bottom w:val="single" w:sz="2" w:color="808080"/>
            </w:tcBorders>
          </w:tcPr>
          <w:p>
            <w:pPr>
              <w:spacing w:after="0"/>
              <w:jc w:val="center"/>
            </w:pPr>
            <w:r>
              <w:rPr>
                <w:rFonts w:ascii="Aptos" w:hAnsi="Aptos"/>
                <w:b w:val="0"/>
                <w:sz w:val="16"/>
              </w:rPr>
              <w:t>0.684 ± 0.001</w:t>
            </w:r>
          </w:p>
        </w:tc>
        <w:tc>
          <w:tcPr>
            <w:tcW w:type="dxa" w:w="1587"/>
            <w:tcBorders>
              <w:top w:val="single" w:sz="2" w:color="808080"/>
              <w:bottom w:val="single" w:sz="2" w:color="808080"/>
            </w:tcBorders>
          </w:tcPr>
          <w:p>
            <w:pPr>
              <w:spacing w:after="0"/>
              <w:jc w:val="center"/>
            </w:pPr>
            <w:r>
              <w:rPr>
                <w:rFonts w:ascii="Aptos" w:hAnsi="Aptos"/>
                <w:b w:val="0"/>
                <w:sz w:val="16"/>
              </w:rPr>
              <w:t>0.735 ± 0.001</w:t>
            </w:r>
          </w:p>
        </w:tc>
        <w:tc>
          <w:tcPr>
            <w:tcW w:type="dxa" w:w="1587"/>
            <w:tcBorders>
              <w:top w:val="single" w:sz="2" w:color="808080"/>
              <w:bottom w:val="single" w:sz="2" w:color="808080"/>
            </w:tcBorders>
          </w:tcPr>
          <w:p>
            <w:pPr>
              <w:spacing w:after="0"/>
              <w:jc w:val="center"/>
            </w:pPr>
            <w:r>
              <w:rPr>
                <w:rFonts w:ascii="Aptos" w:hAnsi="Aptos"/>
                <w:b w:val="0"/>
                <w:sz w:val="16"/>
              </w:rPr>
              <w:t>0.931 ± 0.006</w:t>
            </w:r>
          </w:p>
        </w:tc>
        <w:tc>
          <w:tcPr>
            <w:tcW w:type="dxa" w:w="1020"/>
            <w:tcBorders>
              <w:top w:val="single" w:sz="2" w:color="808080"/>
              <w:bottom w:val="single" w:sz="2" w:color="808080"/>
            </w:tcBorders>
          </w:tcPr>
          <w:p>
            <w:pPr>
              <w:spacing w:after="0"/>
              <w:jc w:val="center"/>
            </w:pPr>
            <w:r>
              <w:rPr>
                <w:rFonts w:ascii="Aptos" w:hAnsi="Aptos"/>
                <w:b w:val="0"/>
                <w:sz w:val="16"/>
              </w:rPr>
              <w:t>3.5 M</w:t>
            </w:r>
          </w:p>
        </w:tc>
      </w:tr>
      <w:tr>
        <w:tc>
          <w:tcPr>
            <w:tcW w:type="dxa" w:w="3288"/>
            <w:tcBorders>
              <w:top w:val="single" w:sz="2" w:color="808080"/>
              <w:bottom w:val="single" w:sz="2" w:color="808080"/>
            </w:tcBorders>
          </w:tcPr>
          <w:p>
            <w:pPr>
              <w:spacing w:after="0"/>
              <w:jc w:val="left"/>
            </w:pPr>
            <w:r>
              <w:rPr>
                <w:rFonts w:ascii="Aptos" w:hAnsi="Aptos"/>
                <w:b w:val="0"/>
                <w:sz w:val="16"/>
              </w:rPr>
              <w:t>Last 4 blocks fine-tuned</w:t>
            </w:r>
          </w:p>
        </w:tc>
        <w:tc>
          <w:tcPr>
            <w:tcW w:type="dxa" w:w="1587"/>
            <w:tcBorders>
              <w:top w:val="single" w:sz="2" w:color="808080"/>
              <w:bottom w:val="single" w:sz="2" w:color="808080"/>
            </w:tcBorders>
          </w:tcPr>
          <w:p>
            <w:pPr>
              <w:spacing w:after="0"/>
              <w:jc w:val="center"/>
            </w:pPr>
            <w:r>
              <w:rPr>
                <w:rFonts w:ascii="Aptos" w:hAnsi="Aptos"/>
                <w:b w:val="0"/>
                <w:sz w:val="16"/>
              </w:rPr>
              <w:t>0.687 ± 0.002</w:t>
            </w:r>
          </w:p>
        </w:tc>
        <w:tc>
          <w:tcPr>
            <w:tcW w:type="dxa" w:w="1587"/>
            <w:tcBorders>
              <w:top w:val="single" w:sz="2" w:color="808080"/>
              <w:bottom w:val="single" w:sz="2" w:color="808080"/>
            </w:tcBorders>
          </w:tcPr>
          <w:p>
            <w:pPr>
              <w:spacing w:after="0"/>
              <w:jc w:val="center"/>
            </w:pPr>
            <w:r>
              <w:rPr>
                <w:rFonts w:ascii="Aptos" w:hAnsi="Aptos"/>
                <w:b w:val="0"/>
                <w:sz w:val="16"/>
              </w:rPr>
              <w:t>0.737 ± 0.002</w:t>
            </w:r>
          </w:p>
        </w:tc>
        <w:tc>
          <w:tcPr>
            <w:tcW w:type="dxa" w:w="1587"/>
            <w:tcBorders>
              <w:top w:val="single" w:sz="2" w:color="808080"/>
              <w:bottom w:val="single" w:sz="2" w:color="808080"/>
            </w:tcBorders>
          </w:tcPr>
          <w:p>
            <w:pPr>
              <w:spacing w:after="0"/>
              <w:jc w:val="center"/>
            </w:pPr>
            <w:r>
              <w:rPr>
                <w:rFonts w:ascii="Aptos" w:hAnsi="Aptos"/>
                <w:b w:val="0"/>
                <w:sz w:val="16"/>
              </w:rPr>
              <w:t>0.927 ± 0.021</w:t>
            </w:r>
          </w:p>
        </w:tc>
        <w:tc>
          <w:tcPr>
            <w:tcW w:type="dxa" w:w="1020"/>
            <w:tcBorders>
              <w:top w:val="single" w:sz="2" w:color="808080"/>
              <w:bottom w:val="single" w:sz="2" w:color="808080"/>
            </w:tcBorders>
          </w:tcPr>
          <w:p>
            <w:pPr>
              <w:spacing w:after="0"/>
              <w:jc w:val="center"/>
            </w:pPr>
            <w:r>
              <w:rPr>
                <w:rFonts w:ascii="Aptos" w:hAnsi="Aptos"/>
                <w:b w:val="0"/>
                <w:sz w:val="16"/>
              </w:rPr>
              <w:t>28 M</w:t>
            </w:r>
          </w:p>
        </w:tc>
      </w:tr>
      <w:tr>
        <w:tc>
          <w:tcPr>
            <w:tcW w:type="dxa" w:w="3288"/>
            <w:tcBorders>
              <w:top w:val="single" w:sz="2" w:color="808080"/>
              <w:bottom w:val="single" w:sz="2" w:color="808080"/>
            </w:tcBorders>
          </w:tcPr>
          <w:p>
            <w:pPr>
              <w:spacing w:after="0"/>
              <w:jc w:val="left"/>
            </w:pPr>
            <w:r>
              <w:rPr>
                <w:rFonts w:ascii="Aptos" w:hAnsi="Aptos"/>
                <w:b w:val="0"/>
                <w:sz w:val="16"/>
              </w:rPr>
              <w:t>DINOv2 B/14, probe (N = 2,000)</w:t>
            </w:r>
          </w:p>
        </w:tc>
        <w:tc>
          <w:tcPr>
            <w:tcW w:type="dxa" w:w="1587"/>
            <w:tcBorders>
              <w:top w:val="single" w:sz="2" w:color="808080"/>
              <w:bottom w:val="single" w:sz="2" w:color="808080"/>
            </w:tcBorders>
          </w:tcPr>
          <w:p>
            <w:pPr>
              <w:spacing w:after="0"/>
              <w:jc w:val="center"/>
            </w:pPr>
            <w:r>
              <w:rPr>
                <w:rFonts w:ascii="Aptos" w:hAnsi="Aptos"/>
                <w:b w:val="0"/>
                <w:sz w:val="16"/>
              </w:rPr>
              <w:t>0.664 ± 0.003</w:t>
            </w:r>
          </w:p>
        </w:tc>
        <w:tc>
          <w:tcPr>
            <w:tcW w:type="dxa" w:w="1587"/>
            <w:tcBorders>
              <w:top w:val="single" w:sz="2" w:color="808080"/>
              <w:bottom w:val="single" w:sz="2" w:color="808080"/>
            </w:tcBorders>
          </w:tcPr>
          <w:p>
            <w:pPr>
              <w:spacing w:after="0"/>
              <w:jc w:val="center"/>
            </w:pPr>
            <w:r>
              <w:rPr>
                <w:rFonts w:ascii="Aptos" w:hAnsi="Aptos"/>
                <w:b w:val="0"/>
                <w:sz w:val="16"/>
              </w:rPr>
              <w:t>0.714 ± 0.004</w:t>
            </w:r>
          </w:p>
        </w:tc>
        <w:tc>
          <w:tcPr>
            <w:tcW w:type="dxa" w:w="1587"/>
            <w:tcBorders>
              <w:top w:val="single" w:sz="2" w:color="808080"/>
              <w:bottom w:val="single" w:sz="2" w:color="808080"/>
            </w:tcBorders>
          </w:tcPr>
          <w:p>
            <w:pPr>
              <w:spacing w:after="0"/>
              <w:jc w:val="center"/>
            </w:pPr>
            <w:r>
              <w:rPr>
                <w:rFonts w:ascii="Aptos" w:hAnsi="Aptos"/>
                <w:b w:val="0"/>
                <w:sz w:val="16"/>
              </w:rPr>
              <w:t>0.798 ± 0.010</w:t>
            </w:r>
          </w:p>
        </w:tc>
        <w:tc>
          <w:tcPr>
            <w:tcW w:type="dxa" w:w="1020"/>
            <w:tcBorders>
              <w:top w:val="single" w:sz="2" w:color="808080"/>
              <w:bottom w:val="single" w:sz="2" w:color="808080"/>
            </w:tcBorders>
          </w:tcPr>
          <w:p>
            <w:pPr>
              <w:spacing w:after="0"/>
              <w:jc w:val="center"/>
            </w:pPr>
            <w:r>
              <w:rPr>
                <w:rFonts w:ascii="Aptos" w:hAnsi="Aptos"/>
                <w:b w:val="0"/>
                <w:sz w:val="16"/>
              </w:rPr>
              <w:t>4.6 k</w:t>
            </w:r>
          </w:p>
        </w:tc>
      </w:tr>
      <w:tr>
        <w:tc>
          <w:tcPr>
            <w:tcW w:type="dxa" w:w="3288"/>
            <w:tcBorders>
              <w:top w:val="single" w:sz="2" w:color="808080"/>
              <w:bottom w:val="single" w:sz="2" w:color="808080"/>
            </w:tcBorders>
          </w:tcPr>
          <w:p>
            <w:pPr>
              <w:spacing w:after="0"/>
              <w:jc w:val="left"/>
            </w:pPr>
            <w:r>
              <w:rPr>
                <w:rFonts w:ascii="Aptos" w:hAnsi="Aptos"/>
                <w:b w:val="0"/>
                <w:sz w:val="16"/>
              </w:rPr>
              <w:t>Random-init ViT, probe (N = 2,000)</w:t>
            </w:r>
          </w:p>
        </w:tc>
        <w:tc>
          <w:tcPr>
            <w:tcW w:type="dxa" w:w="1587"/>
            <w:tcBorders>
              <w:top w:val="single" w:sz="2" w:color="808080"/>
              <w:bottom w:val="single" w:sz="2" w:color="808080"/>
            </w:tcBorders>
          </w:tcPr>
          <w:p>
            <w:pPr>
              <w:spacing w:after="0"/>
              <w:jc w:val="center"/>
            </w:pPr>
            <w:r>
              <w:rPr>
                <w:rFonts w:ascii="Aptos" w:hAnsi="Aptos"/>
                <w:b w:val="0"/>
                <w:sz w:val="16"/>
              </w:rPr>
              <w:t>0.264 ± 0.011</w:t>
            </w:r>
          </w:p>
        </w:tc>
        <w:tc>
          <w:tcPr>
            <w:tcW w:type="dxa" w:w="1587"/>
            <w:tcBorders>
              <w:top w:val="single" w:sz="2" w:color="808080"/>
              <w:bottom w:val="single" w:sz="2" w:color="808080"/>
            </w:tcBorders>
          </w:tcPr>
          <w:p>
            <w:pPr>
              <w:spacing w:after="0"/>
              <w:jc w:val="center"/>
            </w:pPr>
            <w:r>
              <w:rPr>
                <w:rFonts w:ascii="Aptos" w:hAnsi="Aptos"/>
                <w:b w:val="0"/>
                <w:sz w:val="16"/>
              </w:rPr>
              <w:t>0.272 ± 0.012</w:t>
            </w:r>
          </w:p>
        </w:tc>
        <w:tc>
          <w:tcPr>
            <w:tcW w:type="dxa" w:w="1587"/>
            <w:tcBorders>
              <w:top w:val="single" w:sz="2" w:color="808080"/>
              <w:bottom w:val="single" w:sz="2" w:color="808080"/>
            </w:tcBorders>
          </w:tcPr>
          <w:p>
            <w:pPr>
              <w:spacing w:after="0"/>
              <w:jc w:val="center"/>
            </w:pPr>
            <w:r>
              <w:rPr>
                <w:rFonts w:ascii="Aptos" w:hAnsi="Aptos"/>
                <w:b w:val="0"/>
                <w:sz w:val="16"/>
              </w:rPr>
              <w:t>0.272 ± 0.015</w:t>
            </w:r>
          </w:p>
        </w:tc>
        <w:tc>
          <w:tcPr>
            <w:tcW w:type="dxa" w:w="1020"/>
            <w:tcBorders>
              <w:top w:val="single" w:sz="2" w:color="808080"/>
              <w:bottom w:val="single" w:sz="2" w:color="808080"/>
            </w:tcBorders>
          </w:tcPr>
          <w:p>
            <w:pPr>
              <w:spacing w:after="0"/>
              <w:jc w:val="center"/>
            </w:pPr>
            <w:r>
              <w:rPr>
                <w:rFonts w:ascii="Aptos" w:hAnsi="Aptos"/>
                <w:b w:val="0"/>
                <w:sz w:val="16"/>
              </w:rPr>
              <w:t>4.6 k</w:t>
            </w:r>
          </w:p>
        </w:tc>
      </w:tr>
      <w:tr>
        <w:tc>
          <w:tcPr>
            <w:tcW w:type="dxa" w:w="3288"/>
            <w:tcBorders>
              <w:top w:val="single" w:sz="2" w:color="808080"/>
              <w:bottom w:val="single" w:sz="2" w:color="808080"/>
            </w:tcBorders>
          </w:tcPr>
          <w:p>
            <w:pPr>
              <w:spacing w:after="0"/>
              <w:jc w:val="left"/>
            </w:pPr>
            <w:r>
              <w:rPr>
                <w:rFonts w:ascii="Aptos" w:hAnsi="Aptos"/>
                <w:b w:val="0"/>
                <w:sz w:val="16"/>
              </w:rPr>
              <w:t>DeepLabV3+ R101, 512 px [3]</w:t>
            </w:r>
          </w:p>
        </w:tc>
        <w:tc>
          <w:tcPr>
            <w:tcW w:type="dxa" w:w="1587"/>
            <w:tcBorders>
              <w:top w:val="single" w:sz="2" w:color="808080"/>
              <w:bottom w:val="single" w:sz="2" w:color="808080"/>
            </w:tcBorders>
          </w:tcPr>
          <w:p>
            <w:pPr>
              <w:spacing w:after="0"/>
              <w:jc w:val="center"/>
            </w:pPr>
            <w:r>
              <w:rPr>
                <w:rFonts w:ascii="Aptos" w:hAnsi="Aptos"/>
                <w:b w:val="0"/>
                <w:sz w:val="16"/>
              </w:rPr>
              <w:t>0.67</w:t>
            </w:r>
          </w:p>
        </w:tc>
        <w:tc>
          <w:tcPr>
            <w:tcW w:type="dxa" w:w="1587"/>
            <w:tcBorders>
              <w:top w:val="single" w:sz="2" w:color="808080"/>
              <w:bottom w:val="single" w:sz="2" w:color="808080"/>
            </w:tcBorders>
          </w:tcPr>
          <w:p>
            <w:pPr>
              <w:spacing w:after="0"/>
              <w:jc w:val="center"/>
            </w:pPr>
            <w:r>
              <w:rPr>
                <w:rFonts w:ascii="Aptos" w:hAnsi="Aptos"/>
                <w:b w:val="0"/>
                <w:sz w:val="16"/>
              </w:rPr>
              <w:t>0.72</w:t>
            </w:r>
          </w:p>
        </w:tc>
        <w:tc>
          <w:tcPr>
            <w:tcW w:type="dxa" w:w="1587"/>
            <w:tcBorders>
              <w:top w:val="single" w:sz="2" w:color="808080"/>
              <w:bottom w:val="single" w:sz="2" w:color="808080"/>
            </w:tcBorders>
          </w:tcPr>
          <w:p>
            <w:pPr>
              <w:spacing w:after="0"/>
              <w:jc w:val="center"/>
            </w:pPr>
            <w:r>
              <w:rPr>
                <w:rFonts w:ascii="Aptos" w:hAnsi="Aptos"/>
                <w:b w:val="0"/>
                <w:sz w:val="16"/>
              </w:rPr>
              <w:t>0.82</w:t>
            </w:r>
          </w:p>
        </w:tc>
        <w:tc>
          <w:tcPr>
            <w:tcW w:type="dxa" w:w="1020"/>
            <w:tcBorders>
              <w:top w:val="single" w:sz="2" w:color="808080"/>
              <w:bottom w:val="single" w:sz="2" w:color="808080"/>
            </w:tcBorders>
          </w:tcPr>
          <w:p>
            <w:pPr>
              <w:spacing w:after="0"/>
              <w:jc w:val="center"/>
            </w:pPr>
            <w:r>
              <w:rPr>
                <w:rFonts w:ascii="Aptos" w:hAnsi="Aptos"/>
                <w:b w:val="0"/>
                <w:sz w:val="16"/>
              </w:rPr>
              <w:t>58.8 M</w:t>
            </w:r>
          </w:p>
        </w:tc>
      </w:tr>
      <w:tr>
        <w:tc>
          <w:tcPr>
            <w:tcW w:type="dxa" w:w="3288"/>
            <w:tcBorders>
              <w:top w:val="single" w:sz="2" w:color="808080"/>
              <w:bottom w:val="single" w:sz="8" w:color="808080"/>
            </w:tcBorders>
          </w:tcPr>
          <w:p>
            <w:pPr>
              <w:spacing w:after="0"/>
              <w:jc w:val="left"/>
            </w:pPr>
            <w:r>
              <w:rPr>
                <w:rFonts w:ascii="Aptos" w:hAnsi="Aptos"/>
                <w:b w:val="0"/>
                <w:sz w:val="16"/>
              </w:rPr>
              <w:t>UPerNet Swin-S, 1,024 px [3]</w:t>
            </w:r>
          </w:p>
        </w:tc>
        <w:tc>
          <w:tcPr>
            <w:tcW w:type="dxa" w:w="1587"/>
            <w:tcBorders>
              <w:top w:val="single" w:sz="2" w:color="808080"/>
              <w:bottom w:val="single" w:sz="8" w:color="808080"/>
            </w:tcBorders>
          </w:tcPr>
          <w:p>
            <w:pPr>
              <w:spacing w:after="0"/>
              <w:jc w:val="center"/>
            </w:pPr>
            <w:r>
              <w:rPr>
                <w:rFonts w:ascii="Aptos" w:hAnsi="Aptos"/>
                <w:b w:val="0"/>
                <w:sz w:val="16"/>
              </w:rPr>
              <w:t>0.70</w:t>
            </w:r>
          </w:p>
        </w:tc>
        <w:tc>
          <w:tcPr>
            <w:tcW w:type="dxa" w:w="1587"/>
            <w:tcBorders>
              <w:top w:val="single" w:sz="2" w:color="808080"/>
              <w:bottom w:val="single" w:sz="8" w:color="808080"/>
            </w:tcBorders>
          </w:tcPr>
          <w:p>
            <w:pPr>
              <w:spacing w:after="0"/>
              <w:jc w:val="center"/>
            </w:pPr>
            <w:r>
              <w:rPr>
                <w:rFonts w:ascii="Aptos" w:hAnsi="Aptos"/>
                <w:b w:val="0"/>
                <w:sz w:val="16"/>
              </w:rPr>
              <w:t>0.74</w:t>
            </w:r>
          </w:p>
        </w:tc>
        <w:tc>
          <w:tcPr>
            <w:tcW w:type="dxa" w:w="1587"/>
            <w:tcBorders>
              <w:top w:val="single" w:sz="2" w:color="808080"/>
              <w:bottom w:val="single" w:sz="8" w:color="808080"/>
            </w:tcBorders>
          </w:tcPr>
          <w:p>
            <w:pPr>
              <w:spacing w:after="0"/>
              <w:jc w:val="center"/>
            </w:pPr>
            <w:r>
              <w:rPr>
                <w:rFonts w:ascii="Aptos" w:hAnsi="Aptos"/>
                <w:b w:val="0"/>
                <w:sz w:val="16"/>
              </w:rPr>
              <w:t>0.94</w:t>
            </w:r>
          </w:p>
        </w:tc>
        <w:tc>
          <w:tcPr>
            <w:tcW w:type="dxa" w:w="1020"/>
            <w:tcBorders>
              <w:top w:val="single" w:sz="2" w:color="808080"/>
              <w:bottom w:val="single" w:sz="8" w:color="808080"/>
            </w:tcBorders>
          </w:tcPr>
          <w:p>
            <w:pPr>
              <w:spacing w:after="0"/>
              <w:jc w:val="center"/>
            </w:pPr>
            <w:r>
              <w:rPr>
                <w:rFonts w:ascii="Aptos" w:hAnsi="Aptos"/>
                <w:b w:val="0"/>
                <w:sz w:val="16"/>
              </w:rPr>
              <w:t>81.2 M</w:t>
            </w:r>
          </w:p>
        </w:tc>
      </w:tr>
    </w:tbl>
    <w:p w14:paraId="1F1A4249" w14:textId="77777777" w:rsidR="009C10AA" w:rsidRPr="009C10AA" w:rsidRDefault="009C10AA" w:rsidP="00A32712">
      <w:pPr>
        <w:jc w:val="both"/>
        <w:rPr>
          <w:rFonts w:ascii="Aptos" w:hAnsi="Aptos"/>
          <w:sz w:val="22"/>
        </w:rPr>
      </w:pPr>
    </w:p>
    <w:p w14:paraId="560E0C09" w14:textId="77777777" w:rsidR="009C10AA" w:rsidRDefault="009C10AA" w:rsidP="00A32712">
      <w:pPr>
        <w:jc w:val="both"/>
        <w:rPr>
          <w:rFonts w:ascii="Aptos" w:hAnsi="Aptos"/>
          <w:b/>
          <w:sz w:val="22"/>
        </w:rPr>
      </w:pPr>
    </w:p>
    <w:p w14:paraId="2CE92476" w14:textId="1DD38124" w:rsidR="00465282" w:rsidRPr="009C10AA" w:rsidRDefault="00000000" w:rsidP="00A32712">
      <w:pPr>
        <w:keepNext/>
        <w:spacing w:after="40" w:before="40"/>
        <w:jc w:val="both"/>
        <w:rPr>
          <w:rFonts w:ascii="Aptos" w:hAnsi="Aptos"/>
          <w:sz w:val="22"/>
        </w:rPr>
      </w:pPr>
      <w:r w:rsidRPr="009C10AA">
        <w:rPr>
          <w:rFonts w:ascii="Aptos" w:hAnsi="Aptos"/>
          <w:b/>
          <w:sz w:val="22"/>
        </w:rPr>
        <w:t>4. CONCLUSIONS</w:t>
      </w:r>
    </w:p>
    <w:p w14:paraId="37BB0F59" w14:textId="77777777" w:rsidR="00465282" w:rsidRPr="009C10AA" w:rsidRDefault="00000000" w:rsidP="00A32712">
      <w:pPr>
        <w:spacing w:after="60"/>
        <w:jc w:val="both"/>
        <w:rPr>
          <w:rFonts w:ascii="Aptos" w:hAnsi="Aptos"/>
          <w:sz w:val="22"/>
        </w:rPr>
      </w:pPr>
      <w:r>
        <w:rPr>
          <w:rFonts w:ascii="Aptos" w:hAnsi="Aptos" w:eastAsia="Aptos"/>
          <w:b/>
          <w:i w:val="0"/>
          <w:sz w:val="20"/>
        </w:rPr>
        <w:t xml:space="preserve">Frozen DINOv3 features transfer to Martian terrain without adapting the backbone: </w:t>
      </w:r>
      <w:r>
        <w:rPr>
          <w:rFonts w:ascii="Aptos" w:hAnsi="Aptos" w:eastAsia="Aptos"/>
          <w:b w:val="0"/>
          <w:i w:val="0"/>
          <w:sz w:val="20"/>
        </w:rPr>
        <w:t>a linear probe is within 0.025 mIoU of the best published end-to-end model on M1 and M2, heavier heads add at most 0.012, the gain comes from pretraining, and no intermediate layer beats the last one.</w:t>
      </w:r>
    </w:p>
    <w:p w14:paraId="69FF76B8" w14:textId="77777777" w:rsidR="00465282" w:rsidRPr="009C10AA" w:rsidRDefault="00000000" w:rsidP="00A32712">
      <w:pPr>
        <w:keepNext w:val="0"/>
        <w:spacing w:after="40" w:before="0"/>
        <w:jc w:val="both"/>
        <w:rPr>
          <w:rFonts w:ascii="Aptos" w:hAnsi="Aptos"/>
          <w:sz w:val="22"/>
        </w:rPr>
      </w:pPr>
      <w:r>
        <w:rPr>
          <w:rFonts w:ascii="Aptos" w:hAnsi="Aptos" w:eastAsia="Aptos"/>
          <w:b/>
          <w:i w:val="0"/>
          <w:sz w:val="20"/>
        </w:rPr>
        <w:t xml:space="preserve">Limitations. </w:t>
      </w:r>
      <w:r>
        <w:rPr>
          <w:rFonts w:ascii="Aptos" w:hAnsi="Aptos" w:eastAsia="Aptos"/>
          <w:b w:val="0"/>
          <w:i w:val="0"/>
          <w:sz w:val="20"/>
        </w:rPr>
        <w:t>One backbone, one rover, three seeds and 322 test images per variant; only one of six pre-specified hypotheses was supported and the rest are inconclusive at this sample size; M3 cannot rank models on big rock; the baseline comparison is indicative.</w:t>
      </w:r>
    </w:p>
    <w:p w14:paraId="69FF76B8" w14:textId="77777777" w:rsidR="00465282" w:rsidRPr="009C10AA" w:rsidRDefault="00000000" w:rsidP="00A32712">
      <w:pPr>
        <w:keepNext w:val="0"/>
        <w:spacing w:after="40" w:before="0"/>
        <w:jc w:val="both"/>
        <w:rPr>
          <w:rFonts w:ascii="Aptos" w:hAnsi="Aptos"/>
          <w:sz w:val="22"/>
        </w:rPr>
      </w:pPr>
      <w:r>
        <w:rPr>
          <w:rFonts w:ascii="Aptos" w:hAnsi="Aptos" w:eastAsia="Aptos"/>
          <w:b/>
          <w:i w:val="0"/>
          <w:sz w:val="20"/>
        </w:rPr>
        <w:t xml:space="preserve">Next steps. </w:t>
      </w:r>
      <w:r>
        <w:rPr>
          <w:rFonts w:ascii="Aptos" w:hAnsi="Aptos" w:eastAsia="Aptos"/>
          <w:b w:val="0"/>
          <w:i w:val="0"/>
          <w:sz w:val="20"/>
        </w:rPr>
        <w:t>Retraining a published baseline under the same protocol, other rovers or datasets, big-rock-oriented losses. Code and results: https://github.com/gonzaquis29/DinoV3-AI4Mars.</w:t>
      </w:r>
    </w:p>
    <w:p w14:paraId="69FF76B8" w14:textId="77777777" w:rsidR="00465282" w:rsidRPr="009C10AA" w:rsidRDefault="00000000" w:rsidP="00A32712">
      <w:pPr>
        <w:keepNext w:val="0"/>
        <w:spacing w:after="60" w:before="0"/>
        <w:jc w:val="both"/>
        <w:rPr>
          <w:rFonts w:ascii="Aptos" w:hAnsi="Aptos"/>
          <w:sz w:val="22"/>
        </w:rPr>
      </w:pPr>
      <w:r>
        <w:rPr>
          <w:rFonts w:ascii="Aptos" w:hAnsi="Aptos" w:eastAsia="Aptos"/>
          <w:b/>
          <w:i w:val="0"/>
          <w:sz w:val="20"/>
        </w:rPr>
        <w:t xml:space="preserve">Message for discussion. </w:t>
      </w:r>
      <w:r>
        <w:rPr>
          <w:rFonts w:ascii="Aptos" w:hAnsi="Aptos" w:eastAsia="Aptos"/>
          <w:b w:val="0"/>
          <w:i w:val="0"/>
          <w:sz w:val="20"/>
        </w:rPr>
        <w:t>How much of the M1/M2 ceiling is label noise, and how should rare classes be evaluated?</w:t>
      </w:r>
    </w:p>
    <w:p w14:paraId="1E488E32" w14:textId="73F08A76" w:rsidR="00465282" w:rsidRPr="009C10AA" w:rsidRDefault="00000000" w:rsidP="00A32712">
      <w:pPr>
        <w:keepNext/>
        <w:spacing w:after="40" w:before="40"/>
        <w:jc w:val="both"/>
        <w:rPr>
          <w:rFonts w:ascii="Aptos" w:hAnsi="Aptos"/>
          <w:sz w:val="22"/>
        </w:rPr>
      </w:pPr>
      <w:r w:rsidRPr="009C10AA">
        <w:rPr>
          <w:rFonts w:ascii="Aptos" w:hAnsi="Aptos"/>
          <w:b/>
          <w:sz w:val="22"/>
        </w:rPr>
        <w:t>REFERENCES</w:t>
      </w:r>
    </w:p>
    <w:p w14:paraId="5A703AC7" w14:textId="77777777" w:rsidR="00A32712" w:rsidRDefault="00000000" w:rsidP="00A32712">
      <w:pPr>
        <w:spacing w:after="0"/>
        <w:jc w:val="both"/>
        <w:rPr>
          <w:rFonts w:ascii="Aptos" w:hAnsi="Aptos"/>
          <w:sz w:val="22"/>
        </w:rPr>
      </w:pPr>
      <w:r>
        <w:rPr>
          <w:rFonts w:ascii="Aptos" w:hAnsi="Aptos" w:eastAsia="Aptos"/>
          <w:b w:val="0"/>
          <w:i w:val="0"/>
          <w:sz w:val="17"/>
        </w:rPr>
        <w:t>[1] O. Siméoni et al., “DINOv3,” arXiv:2508.10104, 2025.</w:t>
      </w:r>
    </w:p>
    <w:p w14:paraId="3A245509" w14:textId="1E8BC9E6" w:rsidR="00465282" w:rsidRPr="009C10AA" w:rsidRDefault="00000000" w:rsidP="00A32712">
      <w:pPr>
        <w:spacing w:after="0"/>
        <w:jc w:val="both"/>
        <w:rPr>
          <w:rFonts w:ascii="Aptos" w:hAnsi="Aptos"/>
          <w:sz w:val="22"/>
        </w:rPr>
      </w:pPr>
      <w:r>
        <w:rPr>
          <w:rFonts w:ascii="Aptos" w:hAnsi="Aptos" w:eastAsia="Aptos"/>
          <w:b w:val="0"/>
          <w:i w:val="0"/>
          <w:sz w:val="17"/>
        </w:rPr>
        <w:t>[2] R. M. Swan et al., “AI4MARS: A dataset for terrain-aware autonomous driving on Mars,” in CVPR Workshops, 2021.</w:t>
      </w:r>
    </w:p>
    <w:p w14:paraId="69FF76B8" w14:textId="77777777" w:rsidR="00465282" w:rsidRPr="009C10AA" w:rsidRDefault="00000000" w:rsidP="00A32712">
      <w:pPr>
        <w:keepNext w:val="0"/>
        <w:spacing w:after="0" w:before="0"/>
        <w:jc w:val="both"/>
        <w:rPr>
          <w:rFonts w:ascii="Aptos" w:hAnsi="Aptos"/>
          <w:sz w:val="22"/>
        </w:rPr>
      </w:pPr>
      <w:r>
        <w:rPr>
          <w:rFonts w:ascii="Aptos" w:hAnsi="Aptos" w:eastAsia="Aptos"/>
          <w:b w:val="0"/>
          <w:i w:val="0"/>
          <w:sz w:val="17"/>
        </w:rPr>
        <w:t>[3] F. Mohammad, Y. Li and Y. Gao, “Transformers vs CNNs: Enhancing semantic segmentation for Martian terrain classification,” in Int. Conf. Space Robotics (iSpaRo), 2025.</w:t>
      </w:r>
    </w:p>
    <w:p w14:paraId="69FF76B8" w14:textId="77777777" w:rsidR="00465282" w:rsidRPr="009C10AA" w:rsidRDefault="00000000" w:rsidP="00A32712">
      <w:pPr>
        <w:keepNext w:val="0"/>
        <w:spacing w:after="0" w:before="0"/>
        <w:jc w:val="both"/>
        <w:rPr>
          <w:rFonts w:ascii="Aptos" w:hAnsi="Aptos"/>
          <w:sz w:val="22"/>
        </w:rPr>
      </w:pPr>
      <w:r>
        <w:rPr>
          <w:rFonts w:ascii="Aptos" w:hAnsi="Aptos" w:eastAsia="Aptos"/>
          <w:b w:val="0"/>
          <w:i w:val="0"/>
          <w:sz w:val="17"/>
        </w:rPr>
        <w:t>[4] F. Mohammad et al., “Deep learning based semantic segmentation for Mars rover terrain classification,” in Int. Conf. Space Robotics (iSpaRo), 2024.</w:t>
      </w:r>
    </w:p>
    <w:p w14:paraId="69FF76B8" w14:textId="77777777" w:rsidR="00465282" w:rsidRPr="009C10AA" w:rsidRDefault="00000000" w:rsidP="00A32712">
      <w:pPr>
        <w:keepNext w:val="0"/>
        <w:spacing w:after="0" w:before="0"/>
        <w:jc w:val="both"/>
        <w:rPr>
          <w:rFonts w:ascii="Aptos" w:hAnsi="Aptos"/>
          <w:sz w:val="22"/>
        </w:rPr>
      </w:pPr>
      <w:r>
        <w:rPr>
          <w:rFonts w:ascii="Aptos" w:hAnsi="Aptos" w:eastAsia="Aptos"/>
          <w:b w:val="0"/>
          <w:i w:val="0"/>
          <w:sz w:val="17"/>
        </w:rPr>
        <w:t>[5] G. Alain and Y. Bengio, “Understanding intermediate layers using linear classifier probes,” arXiv:1610.01644, 2016.</w:t>
      </w:r>
    </w:p>
    <w:p w14:paraId="69FF76B8" w14:textId="77777777" w:rsidR="00465282" w:rsidRPr="009C10AA" w:rsidRDefault="00000000" w:rsidP="00A32712">
      <w:pPr>
        <w:keepNext w:val="0"/>
        <w:spacing w:after="0" w:before="0"/>
        <w:jc w:val="both"/>
        <w:rPr>
          <w:rFonts w:ascii="Aptos" w:hAnsi="Aptos"/>
          <w:sz w:val="22"/>
        </w:rPr>
      </w:pPr>
      <w:r>
        <w:rPr>
          <w:rFonts w:ascii="Aptos" w:hAnsi="Aptos" w:eastAsia="Aptos"/>
          <w:b w:val="0"/>
          <w:i w:val="0"/>
          <w:sz w:val="17"/>
        </w:rPr>
        <w:t>[6] E. Goh, J. Chen and B. Wilson, “Mars terrain segmentation with less labels,” arXiv:2202.00791, 2022.</w:t>
      </w:r>
    </w:p>
    <w:p w14:paraId="69FF76B8" w14:textId="77777777" w:rsidR="00465282" w:rsidRPr="009C10AA" w:rsidRDefault="00000000" w:rsidP="00A32712">
      <w:pPr>
        <w:keepNext w:val="0"/>
        <w:spacing w:after="0" w:before="0"/>
        <w:jc w:val="both"/>
        <w:rPr>
          <w:rFonts w:ascii="Aptos" w:hAnsi="Aptos"/>
          <w:sz w:val="22"/>
        </w:rPr>
      </w:pPr>
      <w:r>
        <w:rPr>
          <w:rFonts w:ascii="Aptos" w:hAnsi="Aptos" w:eastAsia="Aptos"/>
          <w:b w:val="0"/>
          <w:i w:val="0"/>
          <w:sz w:val="17"/>
        </w:rPr>
        <w:t>[7] P. Durai and G. Doran, “MANTLE: a framework for adaptive in-situ planetary perception using a modular uplink principle,” arXiv:2608.28724, 2026.</w:t>
      </w:r>
    </w:p>
    <w:sectPr w:rsidR="00465282" w:rsidRPr="009C10AA" w:rsidSect="00A32712">
      <w:headerReference w:type="default" r:id="rId8"/>
      <w:footerReference w:type="default" r:id="rId9"/>
      <w:pgSz w:w="11906" w:h="16838" w:code="9"/>
      <w:pgMar w:top="1134" w:right="1418" w:bottom="1134" w:left="1418"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B2641" w14:textId="77777777" w:rsidR="001B2E6D" w:rsidRDefault="001B2E6D">
      <w:pPr>
        <w:spacing w:after="0"/>
      </w:pPr>
      <w:r>
        <w:separator/>
      </w:r>
    </w:p>
  </w:endnote>
  <w:endnote w:type="continuationSeparator" w:id="0">
    <w:p w14:paraId="2CDCB210" w14:textId="77777777" w:rsidR="001B2E6D" w:rsidRDefault="001B2E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A38C5" w14:textId="77777777" w:rsidR="00465282" w:rsidRDefault="00000000">
    <w:pPr>
      <w:pStyle w:val="Piedepgina"/>
      <w:jc w:val="center"/>
    </w:pPr>
    <w:proofErr w:type="spellStart"/>
    <w:r>
      <w:rPr>
        <w:color w:val="6E6E6E"/>
        <w:sz w:val="15"/>
      </w:rPr>
      <w:t>WAIMLAp</w:t>
    </w:r>
    <w:proofErr w:type="spellEnd"/>
    <w:r>
      <w:rPr>
        <w:color w:val="6E6E6E"/>
        <w:sz w:val="15"/>
      </w:rPr>
      <w:t xml:space="preserve"> </w:t>
    </w:r>
    <w:proofErr w:type="gramStart"/>
    <w:r>
      <w:rPr>
        <w:color w:val="6E6E6E"/>
        <w:sz w:val="15"/>
      </w:rPr>
      <w:t>2026  |</w:t>
    </w:r>
    <w:proofErr w:type="gramEnd"/>
    <w:r>
      <w:rPr>
        <w:color w:val="6E6E6E"/>
        <w:sz w:val="15"/>
      </w:rPr>
      <w:t xml:space="preserve">  November 18–20, </w:t>
    </w:r>
    <w:proofErr w:type="gramStart"/>
    <w:r>
      <w:rPr>
        <w:color w:val="6E6E6E"/>
        <w:sz w:val="15"/>
      </w:rPr>
      <w:t>2026  |</w:t>
    </w:r>
    <w:proofErr w:type="gramEnd"/>
    <w:r>
      <w:rPr>
        <w:color w:val="6E6E6E"/>
        <w:sz w:val="15"/>
      </w:rPr>
      <w:t xml:space="preserve">  Lima, </w:t>
    </w:r>
    <w:proofErr w:type="gramStart"/>
    <w:r>
      <w:rPr>
        <w:color w:val="6E6E6E"/>
        <w:sz w:val="15"/>
      </w:rPr>
      <w:t>Peru  |</w:t>
    </w:r>
    <w:proofErr w:type="gramEnd"/>
    <w:r>
      <w:rPr>
        <w:color w:val="6E6E6E"/>
        <w:sz w:val="15"/>
      </w:rPr>
      <w:t xml:space="preserve">  waimlap.org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45383" w14:textId="77777777" w:rsidR="001B2E6D" w:rsidRDefault="001B2E6D">
      <w:pPr>
        <w:spacing w:after="0"/>
      </w:pPr>
      <w:r>
        <w:separator/>
      </w:r>
    </w:p>
  </w:footnote>
  <w:footnote w:type="continuationSeparator" w:id="0">
    <w:p w14:paraId="6A67B167" w14:textId="77777777" w:rsidR="001B2E6D" w:rsidRDefault="001B2E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231C" w14:textId="39A99E01" w:rsidR="009C10AA" w:rsidRDefault="009C10AA" w:rsidP="00A32712">
    <w:pPr>
      <w:pStyle w:val="Encabezado"/>
      <w:ind w:left="3119" w:right="2692"/>
      <w:jc w:val="center"/>
    </w:pPr>
    <w:r>
      <w:rPr>
        <w:noProof/>
      </w:rPr>
      <w:drawing>
        <wp:anchor distT="0" distB="0" distL="114300" distR="114300" simplePos="0" relativeHeight="251657216" behindDoc="0" locked="0" layoutInCell="1" allowOverlap="1" wp14:anchorId="2E12A8F9" wp14:editId="25B08E49">
          <wp:simplePos x="0" y="0"/>
          <wp:positionH relativeFrom="column">
            <wp:posOffset>4855049</wp:posOffset>
          </wp:positionH>
          <wp:positionV relativeFrom="paragraph">
            <wp:posOffset>29210</wp:posOffset>
          </wp:positionV>
          <wp:extent cx="1104265" cy="323850"/>
          <wp:effectExtent l="0" t="0" r="635" b="0"/>
          <wp:wrapSquare wrapText="bothSides"/>
          <wp:docPr id="2885637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265" cy="323850"/>
                  </a:xfrm>
                  <a:prstGeom prst="rect">
                    <a:avLst/>
                  </a:prstGeom>
                  <a:noFill/>
                </pic:spPr>
              </pic:pic>
            </a:graphicData>
          </a:graphic>
        </wp:anchor>
      </w:drawing>
    </w:r>
    <w:r>
      <w:rPr>
        <w:noProof/>
      </w:rPr>
      <w:drawing>
        <wp:anchor distT="0" distB="0" distL="114300" distR="114300" simplePos="0" relativeHeight="251659264" behindDoc="0" locked="0" layoutInCell="1" allowOverlap="1" wp14:anchorId="45900FE7" wp14:editId="0BB38482">
          <wp:simplePos x="0" y="0"/>
          <wp:positionH relativeFrom="column">
            <wp:posOffset>3175</wp:posOffset>
          </wp:positionH>
          <wp:positionV relativeFrom="paragraph">
            <wp:posOffset>1905</wp:posOffset>
          </wp:positionV>
          <wp:extent cx="1798955" cy="310515"/>
          <wp:effectExtent l="0" t="0" r="0" b="0"/>
          <wp:wrapSquare wrapText="bothSides"/>
          <wp:docPr id="1923192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r="30573"/>
                  <a:stretch>
                    <a:fillRect/>
                  </a:stretch>
                </pic:blipFill>
                <pic:spPr bwMode="auto">
                  <a:xfrm>
                    <a:off x="0" y="0"/>
                    <a:ext cx="1798955" cy="310515"/>
                  </a:xfrm>
                  <a:prstGeom prst="rect">
                    <a:avLst/>
                  </a:prstGeom>
                  <a:noFill/>
                  <a:ln>
                    <a:noFill/>
                  </a:ln>
                  <a:extLst>
                    <a:ext uri="{53640926-AAD7-44D8-BBD7-CCE9431645EC}">
                      <a14:shadowObscured xmlns:a14="http://schemas.microsoft.com/office/drawing/2010/main"/>
                    </a:ext>
                  </a:extLst>
                </pic:spPr>
              </pic:pic>
            </a:graphicData>
          </a:graphic>
        </wp:anchor>
      </w:drawing>
    </w:r>
    <w:r>
      <w:rPr>
        <w:b/>
        <w:color w:val="482678"/>
        <w:sz w:val="17"/>
      </w:rPr>
      <w:t>Workshop on Artificial Intelligence</w:t>
    </w:r>
    <w:r w:rsidR="00A32712">
      <w:rPr>
        <w:b/>
        <w:color w:val="482678"/>
        <w:sz w:val="17"/>
      </w:rPr>
      <w:t xml:space="preserve"> </w:t>
    </w:r>
    <w:r>
      <w:rPr>
        <w:b/>
        <w:color w:val="482678"/>
        <w:sz w:val="17"/>
      </w:rPr>
      <w:t>and Machine Learning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8827041">
    <w:abstractNumId w:val="8"/>
  </w:num>
  <w:num w:numId="2" w16cid:durableId="1899170088">
    <w:abstractNumId w:val="6"/>
  </w:num>
  <w:num w:numId="3" w16cid:durableId="1270309378">
    <w:abstractNumId w:val="5"/>
  </w:num>
  <w:num w:numId="4" w16cid:durableId="1639147181">
    <w:abstractNumId w:val="4"/>
  </w:num>
  <w:num w:numId="5" w16cid:durableId="1569733001">
    <w:abstractNumId w:val="7"/>
  </w:num>
  <w:num w:numId="6" w16cid:durableId="1434085613">
    <w:abstractNumId w:val="3"/>
  </w:num>
  <w:num w:numId="7" w16cid:durableId="418450632">
    <w:abstractNumId w:val="2"/>
  </w:num>
  <w:num w:numId="8" w16cid:durableId="217860902">
    <w:abstractNumId w:val="1"/>
  </w:num>
  <w:num w:numId="9" w16cid:durableId="100690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E6D"/>
    <w:rsid w:val="0029639D"/>
    <w:rsid w:val="00326F90"/>
    <w:rsid w:val="00465282"/>
    <w:rsid w:val="009C10AA"/>
    <w:rsid w:val="00A32712"/>
    <w:rsid w:val="00AA14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49236C"/>
  <w14:defaultImageDpi w14:val="300"/>
  <w15:docId w15:val="{1796AA12-5C5F-4596-A302-646CD49E6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320</Words>
  <Characters>1761</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Andres Ayma Quirita</cp:lastModifiedBy>
  <cp:revision>2</cp:revision>
  <dcterms:created xsi:type="dcterms:W3CDTF">2013-12-23T23:15:00Z</dcterms:created>
  <dcterms:modified xsi:type="dcterms:W3CDTF">2026-09-24T03:58:00Z</dcterms:modified>
  <cp:category/>
</cp:coreProperties>
</file>