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AAEC" w14:textId="390267E6" w:rsidR="00A2778E" w:rsidRPr="00A2778E" w:rsidRDefault="00A2778E" w:rsidP="00A2778E">
      <w:pPr>
        <w:jc w:val="center"/>
        <w:rPr>
          <w:rFonts w:ascii="Arial" w:hAnsi="Arial" w:cs="Arial"/>
        </w:rPr>
      </w:pPr>
      <w:r w:rsidRPr="00A2778E">
        <w:rPr>
          <w:rFonts w:ascii="Arial" w:hAnsi="Arial" w:cs="Arial"/>
          <w:noProof/>
        </w:rPr>
        <w:drawing>
          <wp:inline distT="0" distB="0" distL="0" distR="0" wp14:anchorId="0752EF34" wp14:editId="7202CAFD">
            <wp:extent cx="5400040" cy="1970405"/>
            <wp:effectExtent l="0" t="0" r="0" b="0"/>
            <wp:docPr id="1732811130" name="Picture 1" descr="Qué significa el logo de la UTN.BA? - UTN.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significa el logo de la UTN.BA? - UTN.B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1970405"/>
                    </a:xfrm>
                    <a:prstGeom prst="rect">
                      <a:avLst/>
                    </a:prstGeom>
                    <a:noFill/>
                    <a:ln>
                      <a:noFill/>
                    </a:ln>
                  </pic:spPr>
                </pic:pic>
              </a:graphicData>
            </a:graphic>
          </wp:inline>
        </w:drawing>
      </w:r>
    </w:p>
    <w:p w14:paraId="171E925C" w14:textId="610C4B04" w:rsidR="00A2778E" w:rsidRDefault="00A2778E" w:rsidP="00A2778E">
      <w:pPr>
        <w:jc w:val="center"/>
        <w:rPr>
          <w:rFonts w:ascii="Arial" w:hAnsi="Arial" w:cs="Arial"/>
          <w:sz w:val="60"/>
          <w:szCs w:val="60"/>
        </w:rPr>
      </w:pPr>
      <w:r w:rsidRPr="00247F2A">
        <w:rPr>
          <w:rFonts w:ascii="Arial" w:hAnsi="Arial" w:cs="Arial"/>
          <w:sz w:val="60"/>
          <w:szCs w:val="60"/>
        </w:rPr>
        <w:t>Gestión de Datos</w:t>
      </w:r>
    </w:p>
    <w:p w14:paraId="06239A17" w14:textId="77777777" w:rsidR="00247F2A" w:rsidRPr="00247F2A" w:rsidRDefault="00247F2A" w:rsidP="00A2778E">
      <w:pPr>
        <w:jc w:val="center"/>
        <w:rPr>
          <w:rFonts w:ascii="Arial" w:hAnsi="Arial" w:cs="Arial"/>
          <w:sz w:val="60"/>
          <w:szCs w:val="60"/>
        </w:rPr>
      </w:pPr>
    </w:p>
    <w:p w14:paraId="0E5E2525" w14:textId="77777777" w:rsidR="00A2778E" w:rsidRDefault="00A2778E" w:rsidP="00A2778E">
      <w:pPr>
        <w:jc w:val="center"/>
        <w:rPr>
          <w:rFonts w:ascii="Arial" w:hAnsi="Arial" w:cs="Arial"/>
          <w:sz w:val="60"/>
          <w:szCs w:val="60"/>
        </w:rPr>
      </w:pPr>
      <w:r w:rsidRPr="00247F2A">
        <w:rPr>
          <w:rFonts w:ascii="Arial" w:hAnsi="Arial" w:cs="Arial"/>
          <w:sz w:val="60"/>
          <w:szCs w:val="60"/>
        </w:rPr>
        <w:t xml:space="preserve">Trabajo Práctico 1° Cuatrimestre 2026 </w:t>
      </w:r>
    </w:p>
    <w:p w14:paraId="562E180D" w14:textId="77777777" w:rsidR="00247F2A" w:rsidRPr="00247F2A" w:rsidRDefault="00247F2A" w:rsidP="00A2778E">
      <w:pPr>
        <w:jc w:val="center"/>
        <w:rPr>
          <w:rFonts w:ascii="Arial" w:hAnsi="Arial" w:cs="Arial"/>
          <w:sz w:val="60"/>
          <w:szCs w:val="60"/>
        </w:rPr>
      </w:pPr>
    </w:p>
    <w:p w14:paraId="49A0FD55" w14:textId="3D0BF260" w:rsidR="00A2778E" w:rsidRDefault="00A2778E" w:rsidP="00A2778E">
      <w:pPr>
        <w:jc w:val="center"/>
        <w:rPr>
          <w:rFonts w:ascii="Arial" w:hAnsi="Arial" w:cs="Arial"/>
          <w:sz w:val="60"/>
          <w:szCs w:val="60"/>
        </w:rPr>
      </w:pPr>
      <w:proofErr w:type="spellStart"/>
      <w:r w:rsidRPr="00247F2A">
        <w:rPr>
          <w:rFonts w:ascii="Arial" w:hAnsi="Arial" w:cs="Arial"/>
          <w:sz w:val="60"/>
          <w:szCs w:val="60"/>
        </w:rPr>
        <w:t>Frba</w:t>
      </w:r>
      <w:proofErr w:type="spellEnd"/>
      <w:r w:rsidRPr="00247F2A">
        <w:rPr>
          <w:rFonts w:ascii="Arial" w:hAnsi="Arial" w:cs="Arial"/>
          <w:sz w:val="60"/>
          <w:szCs w:val="60"/>
        </w:rPr>
        <w:t xml:space="preserve"> - Gestión de Viajes</w:t>
      </w:r>
    </w:p>
    <w:p w14:paraId="3BA21AC3" w14:textId="77777777" w:rsidR="00247F2A" w:rsidRDefault="00247F2A" w:rsidP="00A2778E">
      <w:pPr>
        <w:jc w:val="center"/>
        <w:rPr>
          <w:rFonts w:ascii="Arial" w:hAnsi="Arial" w:cs="Arial"/>
          <w:sz w:val="60"/>
          <w:szCs w:val="60"/>
        </w:rPr>
      </w:pPr>
    </w:p>
    <w:p w14:paraId="1B777133" w14:textId="77777777" w:rsidR="00247F2A" w:rsidRPr="00247F2A" w:rsidRDefault="00247F2A" w:rsidP="00A2778E">
      <w:pPr>
        <w:jc w:val="center"/>
        <w:rPr>
          <w:rFonts w:ascii="Arial" w:hAnsi="Arial" w:cs="Arial"/>
          <w:sz w:val="60"/>
          <w:szCs w:val="60"/>
        </w:rPr>
      </w:pPr>
    </w:p>
    <w:p w14:paraId="277724D7" w14:textId="4CA265E3" w:rsidR="00A2778E" w:rsidRPr="00247F2A" w:rsidRDefault="00A2778E" w:rsidP="00A2778E">
      <w:pPr>
        <w:jc w:val="center"/>
        <w:rPr>
          <w:rFonts w:ascii="Arial" w:hAnsi="Arial" w:cs="Arial"/>
          <w:sz w:val="60"/>
          <w:szCs w:val="60"/>
        </w:rPr>
      </w:pPr>
      <w:r w:rsidRPr="00247F2A">
        <w:rPr>
          <w:rFonts w:ascii="Arial" w:hAnsi="Arial" w:cs="Arial"/>
          <w:sz w:val="60"/>
          <w:szCs w:val="60"/>
        </w:rPr>
        <w:t xml:space="preserve">Grupo: </w:t>
      </w:r>
      <w:r w:rsidRPr="00247F2A">
        <w:rPr>
          <w:rFonts w:ascii="Arial" w:hAnsi="Arial" w:cs="Arial"/>
          <w:sz w:val="60"/>
          <w:szCs w:val="60"/>
        </w:rPr>
        <w:t>LOS_JOINEROS</w:t>
      </w:r>
    </w:p>
    <w:p w14:paraId="53249243" w14:textId="77777777" w:rsidR="00A2778E" w:rsidRPr="00A2778E" w:rsidRDefault="00A2778E" w:rsidP="00A2778E">
      <w:pPr>
        <w:jc w:val="center"/>
        <w:rPr>
          <w:rFonts w:ascii="Arial" w:hAnsi="Arial" w:cs="Arial"/>
          <w:sz w:val="42"/>
          <w:szCs w:val="42"/>
        </w:rPr>
      </w:pPr>
    </w:p>
    <w:p w14:paraId="5CCC01FF" w14:textId="77777777" w:rsidR="00A2778E" w:rsidRPr="00A2778E" w:rsidRDefault="00A2778E" w:rsidP="00A2778E">
      <w:pPr>
        <w:jc w:val="center"/>
        <w:rPr>
          <w:rFonts w:ascii="Arial" w:hAnsi="Arial" w:cs="Arial"/>
          <w:sz w:val="42"/>
          <w:szCs w:val="42"/>
        </w:rPr>
      </w:pPr>
    </w:p>
    <w:p w14:paraId="6FA9DE88" w14:textId="77777777" w:rsidR="00A2778E" w:rsidRPr="00A2778E" w:rsidRDefault="00A2778E" w:rsidP="00A2778E">
      <w:pPr>
        <w:jc w:val="center"/>
        <w:rPr>
          <w:rFonts w:ascii="Arial" w:hAnsi="Arial" w:cs="Arial"/>
          <w:sz w:val="42"/>
          <w:szCs w:val="42"/>
        </w:rPr>
      </w:pPr>
    </w:p>
    <w:p w14:paraId="6EB1755D" w14:textId="77777777" w:rsidR="00A2778E" w:rsidRPr="00A2778E" w:rsidRDefault="00A2778E" w:rsidP="00A2778E">
      <w:pPr>
        <w:spacing w:before="100" w:beforeAutospacing="1"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lastRenderedPageBreak/>
        <w:t>ÍNDICE</w:t>
      </w:r>
    </w:p>
    <w:p w14:paraId="28F074D0" w14:textId="77777777"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Introducción y Enfoque del Modelo</w:t>
      </w:r>
    </w:p>
    <w:p w14:paraId="2BBE0523" w14:textId="77777777"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Modelo Relacional y Decisiones de Diseño</w:t>
      </w:r>
    </w:p>
    <w:p w14:paraId="33D7E4AF" w14:textId="77777777"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Diagrama Entidad-Relación (DER)</w:t>
      </w:r>
    </w:p>
    <w:p w14:paraId="7C6CE6A9" w14:textId="77777777"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Estrategia de Migración de Datos</w:t>
      </w:r>
    </w:p>
    <w:p w14:paraId="78D9E078" w14:textId="77777777"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Optimización y Performance (Índices)</w:t>
      </w:r>
    </w:p>
    <w:p w14:paraId="170A592A" w14:textId="09E5BED3" w:rsidR="00A2778E" w:rsidRPr="00A2778E" w:rsidRDefault="00A2778E" w:rsidP="00A2778E">
      <w:pPr>
        <w:numPr>
          <w:ilvl w:val="0"/>
          <w:numId w:val="7"/>
        </w:numPr>
        <w:spacing w:before="100" w:beforeAutospacing="1" w:after="100" w:afterAutospacing="1" w:line="240" w:lineRule="auto"/>
        <w:rPr>
          <w:rFonts w:ascii="Arial" w:eastAsia="Times New Roman" w:hAnsi="Arial" w:cs="Arial"/>
          <w:kern w:val="0"/>
          <w:sz w:val="30"/>
          <w:szCs w:val="30"/>
          <w:lang w:eastAsia="es-AR"/>
          <w14:ligatures w14:val="none"/>
        </w:rPr>
      </w:pPr>
      <w:r w:rsidRPr="00A2778E">
        <w:rPr>
          <w:rFonts w:ascii="Arial" w:eastAsia="Times New Roman" w:hAnsi="Arial" w:cs="Arial"/>
          <w:kern w:val="0"/>
          <w:sz w:val="30"/>
          <w:szCs w:val="30"/>
          <w:lang w:eastAsia="es-AR"/>
          <w14:ligatures w14:val="none"/>
        </w:rPr>
        <w:t>Consideraciones Particulares y Supuestos</w:t>
      </w:r>
    </w:p>
    <w:p w14:paraId="2555DF8A" w14:textId="7AB1EE27" w:rsidR="00A2778E" w:rsidRP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t>1. Introducción y Enfoque del Modelo</w:t>
      </w:r>
    </w:p>
    <w:p w14:paraId="6A6D7205" w14:textId="77777777" w:rsidR="00A2778E" w:rsidRPr="00A2778E" w:rsidRDefault="00A2778E" w:rsidP="00A2778E">
      <w:p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El presente documento detalla la estrategia utilizada para la resolución de la primera etapa del trabajo práctico "FRBA – Gestión de Viajes". El objetivo principal consistió en analizar una tabla maestra desnormalizada provista por la cátedra, la cual contenía inconsistencias y redundancia de datos, para diseñar un nuevo modelo relacional en Tercera Forma Normal (3NF). Posteriormente, se elaboró un script T-SQL para crear las estructuras necesarias y migrar la información sin pérdida de datos ni alteración de los registros originales.</w:t>
      </w:r>
    </w:p>
    <w:p w14:paraId="03BC0F33" w14:textId="77777777" w:rsidR="00A2778E" w:rsidRP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t>2. Modelo Relacional y Decisiones de Diseño</w:t>
      </w:r>
    </w:p>
    <w:p w14:paraId="609FC1C9" w14:textId="77777777" w:rsidR="00A2778E" w:rsidRPr="00A2778E" w:rsidRDefault="00A2778E" w:rsidP="00A2778E">
      <w:p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Para garantizar la integridad de los datos y evitar anomalías de actualización, se tomaron las siguientes decisiones arquitectónicas durante el modelado:</w:t>
      </w:r>
    </w:p>
    <w:p w14:paraId="6BDA26F1" w14:textId="77777777" w:rsidR="00A2778E" w:rsidRPr="00A2778E" w:rsidRDefault="00A2778E" w:rsidP="00A2778E">
      <w:pPr>
        <w:numPr>
          <w:ilvl w:val="0"/>
          <w:numId w:val="3"/>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Normalización Geográfica:</w:t>
      </w:r>
      <w:r w:rsidRPr="00A2778E">
        <w:rPr>
          <w:rFonts w:ascii="Arial" w:eastAsia="Times New Roman" w:hAnsi="Arial" w:cs="Arial"/>
          <w:kern w:val="0"/>
          <w:lang w:eastAsia="es-AR"/>
          <w14:ligatures w14:val="none"/>
        </w:rPr>
        <w:t xml:space="preserve"> Se extrajeron los datos de ubicación en una jerarquía relacional (</w:t>
      </w:r>
      <w:proofErr w:type="spellStart"/>
      <w:r w:rsidRPr="00A2778E">
        <w:rPr>
          <w:rFonts w:ascii="Arial" w:eastAsia="Times New Roman" w:hAnsi="Arial" w:cs="Arial"/>
          <w:kern w:val="0"/>
          <w:lang w:eastAsia="es-AR"/>
          <w14:ligatures w14:val="none"/>
        </w:rPr>
        <w:t>Pais</w:t>
      </w:r>
      <w:proofErr w:type="spellEnd"/>
      <w:r w:rsidRPr="00A2778E">
        <w:rPr>
          <w:rFonts w:ascii="Arial" w:eastAsia="Times New Roman" w:hAnsi="Arial" w:cs="Arial"/>
          <w:kern w:val="0"/>
          <w:lang w:eastAsia="es-AR"/>
          <w14:ligatures w14:val="none"/>
        </w:rPr>
        <w:t xml:space="preserve"> -&gt; Provincia -&gt; Localidad) y (</w:t>
      </w:r>
      <w:proofErr w:type="spellStart"/>
      <w:r w:rsidRPr="00A2778E">
        <w:rPr>
          <w:rFonts w:ascii="Arial" w:eastAsia="Times New Roman" w:hAnsi="Arial" w:cs="Arial"/>
          <w:kern w:val="0"/>
          <w:lang w:eastAsia="es-AR"/>
          <w14:ligatures w14:val="none"/>
        </w:rPr>
        <w:t>Pais</w:t>
      </w:r>
      <w:proofErr w:type="spellEnd"/>
      <w:r w:rsidRPr="00A2778E">
        <w:rPr>
          <w:rFonts w:ascii="Arial" w:eastAsia="Times New Roman" w:hAnsi="Arial" w:cs="Arial"/>
          <w:kern w:val="0"/>
          <w:lang w:eastAsia="es-AR"/>
          <w14:ligatures w14:val="none"/>
        </w:rPr>
        <w:t xml:space="preserve"> -&gt; Ciudad). Esto permitió asociar eficientemente entidades como Agencia, Agente y Cliente a una Localidad, y elementos turísticos como Aeropuerto, Hospedaje y </w:t>
      </w:r>
      <w:proofErr w:type="spellStart"/>
      <w:r w:rsidRPr="00A2778E">
        <w:rPr>
          <w:rFonts w:ascii="Arial" w:eastAsia="Times New Roman" w:hAnsi="Arial" w:cs="Arial"/>
          <w:kern w:val="0"/>
          <w:lang w:eastAsia="es-AR"/>
          <w14:ligatures w14:val="none"/>
        </w:rPr>
        <w:t>Excursion</w:t>
      </w:r>
      <w:proofErr w:type="spellEnd"/>
      <w:r w:rsidRPr="00A2778E">
        <w:rPr>
          <w:rFonts w:ascii="Arial" w:eastAsia="Times New Roman" w:hAnsi="Arial" w:cs="Arial"/>
          <w:kern w:val="0"/>
          <w:lang w:eastAsia="es-AR"/>
          <w14:ligatures w14:val="none"/>
        </w:rPr>
        <w:t xml:space="preserve"> a una Ciudad.</w:t>
      </w:r>
    </w:p>
    <w:p w14:paraId="2B14CD1C" w14:textId="77777777" w:rsidR="00A2778E" w:rsidRPr="00A2778E" w:rsidRDefault="00A2778E" w:rsidP="00A2778E">
      <w:pPr>
        <w:numPr>
          <w:ilvl w:val="0"/>
          <w:numId w:val="3"/>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Tablas Maestras y Catálogos:</w:t>
      </w:r>
      <w:r w:rsidRPr="00A2778E">
        <w:rPr>
          <w:rFonts w:ascii="Arial" w:eastAsia="Times New Roman" w:hAnsi="Arial" w:cs="Arial"/>
          <w:kern w:val="0"/>
          <w:lang w:eastAsia="es-AR"/>
          <w14:ligatures w14:val="none"/>
        </w:rPr>
        <w:t xml:space="preserve"> Se crearon tablas paramétricas independientes para Alianza, </w:t>
      </w:r>
      <w:proofErr w:type="spellStart"/>
      <w:r w:rsidRPr="00A2778E">
        <w:rPr>
          <w:rFonts w:ascii="Arial" w:eastAsia="Times New Roman" w:hAnsi="Arial" w:cs="Arial"/>
          <w:kern w:val="0"/>
          <w:lang w:eastAsia="es-AR"/>
          <w14:ligatures w14:val="none"/>
        </w:rPr>
        <w:t>CanalVenta</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MedioPago</w:t>
      </w:r>
      <w:proofErr w:type="spellEnd"/>
      <w:r w:rsidRPr="00A2778E">
        <w:rPr>
          <w:rFonts w:ascii="Arial" w:eastAsia="Times New Roman" w:hAnsi="Arial" w:cs="Arial"/>
          <w:kern w:val="0"/>
          <w:lang w:eastAsia="es-AR"/>
          <w14:ligatures w14:val="none"/>
        </w:rPr>
        <w:t xml:space="preserve"> y </w:t>
      </w:r>
      <w:proofErr w:type="spellStart"/>
      <w:r w:rsidRPr="00A2778E">
        <w:rPr>
          <w:rFonts w:ascii="Arial" w:eastAsia="Times New Roman" w:hAnsi="Arial" w:cs="Arial"/>
          <w:kern w:val="0"/>
          <w:lang w:eastAsia="es-AR"/>
          <w14:ligatures w14:val="none"/>
        </w:rPr>
        <w:t>Estado_Propuesta</w:t>
      </w:r>
      <w:proofErr w:type="spellEnd"/>
      <w:r w:rsidRPr="00A2778E">
        <w:rPr>
          <w:rFonts w:ascii="Arial" w:eastAsia="Times New Roman" w:hAnsi="Arial" w:cs="Arial"/>
          <w:kern w:val="0"/>
          <w:lang w:eastAsia="es-AR"/>
          <w14:ligatures w14:val="none"/>
        </w:rPr>
        <w:t>. Esto asegura la consistencia de los dominios y facilita futuras expansiones del sistema.</w:t>
      </w:r>
    </w:p>
    <w:p w14:paraId="580D71D4" w14:textId="77777777" w:rsidR="00A2778E" w:rsidRPr="00A2778E" w:rsidRDefault="00A2778E" w:rsidP="00A2778E">
      <w:pPr>
        <w:numPr>
          <w:ilvl w:val="0"/>
          <w:numId w:val="3"/>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Separación de Servicios:</w:t>
      </w:r>
      <w:r w:rsidRPr="00A2778E">
        <w:rPr>
          <w:rFonts w:ascii="Arial" w:eastAsia="Times New Roman" w:hAnsi="Arial" w:cs="Arial"/>
          <w:kern w:val="0"/>
          <w:lang w:eastAsia="es-AR"/>
          <w14:ligatures w14:val="none"/>
        </w:rPr>
        <w:t xml:space="preserve"> Tanto las Propuestas como las Ventas pueden contener múltiples servicios. En lugar de forzar todos los servicios en una sola tabla, se diseñaron tablas de detalle específicas para cada tipo (</w:t>
      </w:r>
      <w:proofErr w:type="spellStart"/>
      <w:r w:rsidRPr="00A2778E">
        <w:rPr>
          <w:rFonts w:ascii="Arial" w:eastAsia="Times New Roman" w:hAnsi="Arial" w:cs="Arial"/>
          <w:kern w:val="0"/>
          <w:lang w:eastAsia="es-AR"/>
          <w14:ligatures w14:val="none"/>
        </w:rPr>
        <w:t>Venta_Vuelo</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Venta_Hospedaje</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Venta_Excursion</w:t>
      </w:r>
      <w:proofErr w:type="spellEnd"/>
      <w:r w:rsidRPr="00A2778E">
        <w:rPr>
          <w:rFonts w:ascii="Arial" w:eastAsia="Times New Roman" w:hAnsi="Arial" w:cs="Arial"/>
          <w:kern w:val="0"/>
          <w:lang w:eastAsia="es-AR"/>
          <w14:ligatures w14:val="none"/>
        </w:rPr>
        <w:t>), respetando los atributos propios de cada servicio (ej. el vuelo requiere cantidad de pasajes, mientras que el hospedaje requiere fechas y tipo de habitación).</w:t>
      </w:r>
    </w:p>
    <w:p w14:paraId="2D94C154" w14:textId="77777777" w:rsidR="00247F2A" w:rsidRDefault="00A2778E" w:rsidP="00A2778E">
      <w:pPr>
        <w:numPr>
          <w:ilvl w:val="0"/>
          <w:numId w:val="3"/>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Resolución de Encuestas:</w:t>
      </w:r>
      <w:r w:rsidRPr="00A2778E">
        <w:rPr>
          <w:rFonts w:ascii="Arial" w:eastAsia="Times New Roman" w:hAnsi="Arial" w:cs="Arial"/>
          <w:kern w:val="0"/>
          <w:lang w:eastAsia="es-AR"/>
          <w14:ligatures w14:val="none"/>
        </w:rPr>
        <w:t xml:space="preserve"> Según el negocio, una encuesta puede originarse por una Venta o por una Solicitud de cotización. Para modelar esto, la tabla Encuesta posee claves foráneas hacia ambas entidades, pero se implementó un CONSTRAINT CHECK (</w:t>
      </w:r>
      <w:proofErr w:type="spellStart"/>
      <w:r w:rsidRPr="00A2778E">
        <w:rPr>
          <w:rFonts w:ascii="Arial" w:eastAsia="Times New Roman" w:hAnsi="Arial" w:cs="Arial"/>
          <w:kern w:val="0"/>
          <w:lang w:eastAsia="es-AR"/>
          <w14:ligatures w14:val="none"/>
        </w:rPr>
        <w:t>CK_Encuesta_Origen</w:t>
      </w:r>
      <w:proofErr w:type="spellEnd"/>
      <w:r w:rsidRPr="00A2778E">
        <w:rPr>
          <w:rFonts w:ascii="Arial" w:eastAsia="Times New Roman" w:hAnsi="Arial" w:cs="Arial"/>
          <w:kern w:val="0"/>
          <w:lang w:eastAsia="es-AR"/>
          <w14:ligatures w14:val="none"/>
        </w:rPr>
        <w:t>) que garantiza la exclusividad: el registro debe tener una Venta o una Solicitud, pero nunca ambas nulas o ambas valorizadas al mismo tiempo</w:t>
      </w:r>
      <w:r w:rsidR="00247F2A">
        <w:rPr>
          <w:rFonts w:ascii="Arial" w:eastAsia="Times New Roman" w:hAnsi="Arial" w:cs="Arial"/>
          <w:kern w:val="0"/>
          <w:lang w:eastAsia="es-AR"/>
          <w14:ligatures w14:val="none"/>
        </w:rPr>
        <w:t>.</w:t>
      </w:r>
    </w:p>
    <w:p w14:paraId="776E6E5D" w14:textId="0F98ECFB" w:rsidR="00247F2A" w:rsidRDefault="00247F2A" w:rsidP="00247F2A">
      <w:pPr>
        <w:spacing w:after="100" w:afterAutospacing="1" w:line="240" w:lineRule="auto"/>
        <w:rPr>
          <w:rFonts w:ascii="Arial" w:eastAsia="Times New Roman" w:hAnsi="Arial" w:cs="Arial"/>
          <w:kern w:val="0"/>
          <w:lang w:eastAsia="es-AR"/>
          <w14:ligatures w14:val="none"/>
        </w:rPr>
        <w:sectPr w:rsidR="00247F2A" w:rsidSect="00247F2A">
          <w:pgSz w:w="11906" w:h="16838"/>
          <w:pgMar w:top="1417" w:right="1701" w:bottom="1417" w:left="1701" w:header="708" w:footer="708" w:gutter="0"/>
          <w:cols w:space="708"/>
          <w:docGrid w:linePitch="360"/>
        </w:sectPr>
      </w:pPr>
    </w:p>
    <w:p w14:paraId="79784F37" w14:textId="28266FAE" w:rsid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lastRenderedPageBreak/>
        <w:t>3. Diagrama Entidad-Relación (DER)</w:t>
      </w:r>
    </w:p>
    <w:p w14:paraId="628CEFF3" w14:textId="55C80953" w:rsidR="00247F2A" w:rsidRDefault="00247F2A" w:rsidP="00247F2A">
      <w:pPr>
        <w:spacing w:after="100" w:afterAutospacing="1" w:line="240" w:lineRule="auto"/>
        <w:jc w:val="center"/>
        <w:outlineLvl w:val="1"/>
        <w:rPr>
          <w:rFonts w:ascii="Arial" w:eastAsia="Times New Roman" w:hAnsi="Arial" w:cs="Arial"/>
          <w:b/>
          <w:bCs/>
          <w:kern w:val="0"/>
          <w:sz w:val="36"/>
          <w:szCs w:val="36"/>
          <w:lang w:eastAsia="es-AR"/>
          <w14:ligatures w14:val="none"/>
        </w:rPr>
        <w:sectPr w:rsidR="00247F2A" w:rsidSect="00247F2A">
          <w:pgSz w:w="16838" w:h="11906" w:orient="landscape"/>
          <w:pgMar w:top="1701" w:right="1418" w:bottom="1701" w:left="1418" w:header="709" w:footer="709" w:gutter="0"/>
          <w:cols w:space="708"/>
          <w:docGrid w:linePitch="360"/>
        </w:sectPr>
      </w:pPr>
    </w:p>
    <w:p w14:paraId="3CEABCAF" w14:textId="77777777" w:rsidR="00A2778E" w:rsidRP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lastRenderedPageBreak/>
        <w:t>4. Estrategia de Migración de Datos</w:t>
      </w:r>
    </w:p>
    <w:p w14:paraId="145564BC" w14:textId="77777777" w:rsidR="00A2778E" w:rsidRPr="00A2778E" w:rsidRDefault="00A2778E" w:rsidP="00A2778E">
      <w:p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 xml:space="preserve">La migración se encapsuló en un conjunto de </w:t>
      </w:r>
      <w:proofErr w:type="spellStart"/>
      <w:r w:rsidRPr="00A2778E">
        <w:rPr>
          <w:rFonts w:ascii="Arial" w:eastAsia="Times New Roman" w:hAnsi="Arial" w:cs="Arial"/>
          <w:i/>
          <w:iCs/>
          <w:kern w:val="0"/>
          <w:lang w:eastAsia="es-AR"/>
          <w14:ligatures w14:val="none"/>
        </w:rPr>
        <w:t>Stored</w:t>
      </w:r>
      <w:proofErr w:type="spellEnd"/>
      <w:r w:rsidRPr="00A2778E">
        <w:rPr>
          <w:rFonts w:ascii="Arial" w:eastAsia="Times New Roman" w:hAnsi="Arial" w:cs="Arial"/>
          <w:i/>
          <w:iCs/>
          <w:kern w:val="0"/>
          <w:lang w:eastAsia="es-AR"/>
          <w14:ligatures w14:val="none"/>
        </w:rPr>
        <w:t xml:space="preserve"> </w:t>
      </w:r>
      <w:proofErr w:type="spellStart"/>
      <w:r w:rsidRPr="00A2778E">
        <w:rPr>
          <w:rFonts w:ascii="Arial" w:eastAsia="Times New Roman" w:hAnsi="Arial" w:cs="Arial"/>
          <w:i/>
          <w:iCs/>
          <w:kern w:val="0"/>
          <w:lang w:eastAsia="es-AR"/>
          <w14:ligatures w14:val="none"/>
        </w:rPr>
        <w:t>Procedures</w:t>
      </w:r>
      <w:proofErr w:type="spellEnd"/>
      <w:r w:rsidRPr="00A2778E">
        <w:rPr>
          <w:rFonts w:ascii="Arial" w:eastAsia="Times New Roman" w:hAnsi="Arial" w:cs="Arial"/>
          <w:kern w:val="0"/>
          <w:lang w:eastAsia="es-AR"/>
          <w14:ligatures w14:val="none"/>
        </w:rPr>
        <w:t xml:space="preserve"> (uno por cada tabla del nuevo modelo). Esto permite segmentar la lógica, facilitar el control de errores y mantener el código ordenado. La estrategia de ejecución fue la siguiente:</w:t>
      </w:r>
    </w:p>
    <w:p w14:paraId="2B064E00" w14:textId="77777777" w:rsidR="00A2778E" w:rsidRPr="00A2778E" w:rsidRDefault="00A2778E" w:rsidP="00A2778E">
      <w:pPr>
        <w:numPr>
          <w:ilvl w:val="0"/>
          <w:numId w:val="4"/>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Orden de Dependencia:</w:t>
      </w:r>
      <w:r w:rsidRPr="00A2778E">
        <w:rPr>
          <w:rFonts w:ascii="Arial" w:eastAsia="Times New Roman" w:hAnsi="Arial" w:cs="Arial"/>
          <w:kern w:val="0"/>
          <w:lang w:eastAsia="es-AR"/>
          <w14:ligatures w14:val="none"/>
        </w:rPr>
        <w:t xml:space="preserve"> Los </w:t>
      </w:r>
      <w:proofErr w:type="spellStart"/>
      <w:r w:rsidRPr="00A2778E">
        <w:rPr>
          <w:rFonts w:ascii="Arial" w:eastAsia="Times New Roman" w:hAnsi="Arial" w:cs="Arial"/>
          <w:kern w:val="0"/>
          <w:lang w:eastAsia="es-AR"/>
          <w14:ligatures w14:val="none"/>
        </w:rPr>
        <w:t>Stored</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Procedures</w:t>
      </w:r>
      <w:proofErr w:type="spellEnd"/>
      <w:r w:rsidRPr="00A2778E">
        <w:rPr>
          <w:rFonts w:ascii="Arial" w:eastAsia="Times New Roman" w:hAnsi="Arial" w:cs="Arial"/>
          <w:kern w:val="0"/>
          <w:lang w:eastAsia="es-AR"/>
          <w14:ligatures w14:val="none"/>
        </w:rPr>
        <w:t xml:space="preserve"> se ejecutan respetando estrictamente la jerarquía de las claves foráneas (Foreign Keys). Se comenzó migrando las tablas sin dependencias (</w:t>
      </w:r>
      <w:proofErr w:type="spellStart"/>
      <w:r w:rsidRPr="00A2778E">
        <w:rPr>
          <w:rFonts w:ascii="Arial" w:eastAsia="Times New Roman" w:hAnsi="Arial" w:cs="Arial"/>
          <w:kern w:val="0"/>
          <w:lang w:eastAsia="es-AR"/>
          <w14:ligatures w14:val="none"/>
        </w:rPr>
        <w:t>Pais</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CanalVenta</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MedioPago</w:t>
      </w:r>
      <w:proofErr w:type="spellEnd"/>
      <w:r w:rsidRPr="00A2778E">
        <w:rPr>
          <w:rFonts w:ascii="Arial" w:eastAsia="Times New Roman" w:hAnsi="Arial" w:cs="Arial"/>
          <w:kern w:val="0"/>
          <w:lang w:eastAsia="es-AR"/>
          <w14:ligatures w14:val="none"/>
        </w:rPr>
        <w:t xml:space="preserve">), luego las entidades intermedias (Provincia, Ciudad, Cliente, Agente) y finalmente las tablas transaccionales y sus detalles (Venta, Propuesta, </w:t>
      </w:r>
      <w:proofErr w:type="spellStart"/>
      <w:r w:rsidRPr="00A2778E">
        <w:rPr>
          <w:rFonts w:ascii="Arial" w:eastAsia="Times New Roman" w:hAnsi="Arial" w:cs="Arial"/>
          <w:kern w:val="0"/>
          <w:lang w:eastAsia="es-AR"/>
          <w14:ligatures w14:val="none"/>
        </w:rPr>
        <w:t>Venta_Vuelo</w:t>
      </w:r>
      <w:proofErr w:type="spellEnd"/>
      <w:r w:rsidRPr="00A2778E">
        <w:rPr>
          <w:rFonts w:ascii="Arial" w:eastAsia="Times New Roman" w:hAnsi="Arial" w:cs="Arial"/>
          <w:kern w:val="0"/>
          <w:lang w:eastAsia="es-AR"/>
          <w14:ligatures w14:val="none"/>
        </w:rPr>
        <w:t>, Encuesta).</w:t>
      </w:r>
    </w:p>
    <w:p w14:paraId="2BEB1757" w14:textId="77777777" w:rsidR="00A2778E" w:rsidRPr="00A2778E" w:rsidRDefault="00A2778E" w:rsidP="00A2778E">
      <w:pPr>
        <w:numPr>
          <w:ilvl w:val="0"/>
          <w:numId w:val="4"/>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Manejo de Duplicados e Inconsistencias:</w:t>
      </w:r>
      <w:r w:rsidRPr="00A2778E">
        <w:rPr>
          <w:rFonts w:ascii="Arial" w:eastAsia="Times New Roman" w:hAnsi="Arial" w:cs="Arial"/>
          <w:kern w:val="0"/>
          <w:lang w:eastAsia="es-AR"/>
          <w14:ligatures w14:val="none"/>
        </w:rPr>
        <w:t xml:space="preserve"> Dado que la tabla Maestra contenía registros desorganizados, se utilizó la cláusula DISTINCT para extraer catálogos únicos. En las tablas transaccionales, se empleó la cláusula GROUP BY junto con funciones de agregación como </w:t>
      </w:r>
      <w:proofErr w:type="gramStart"/>
      <w:r w:rsidRPr="00A2778E">
        <w:rPr>
          <w:rFonts w:ascii="Arial" w:eastAsia="Times New Roman" w:hAnsi="Arial" w:cs="Arial"/>
          <w:kern w:val="0"/>
          <w:lang w:eastAsia="es-AR"/>
          <w14:ligatures w14:val="none"/>
        </w:rPr>
        <w:t>MIN(</w:t>
      </w:r>
      <w:proofErr w:type="gramEnd"/>
      <w:r w:rsidRPr="00A2778E">
        <w:rPr>
          <w:rFonts w:ascii="Arial" w:eastAsia="Times New Roman" w:hAnsi="Arial" w:cs="Arial"/>
          <w:kern w:val="0"/>
          <w:lang w:eastAsia="es-AR"/>
          <w14:ligatures w14:val="none"/>
        </w:rPr>
        <w:t xml:space="preserve">) para unificar registros duplicados bajo un mismo identificador (ej. </w:t>
      </w:r>
      <w:proofErr w:type="spellStart"/>
      <w:r w:rsidRPr="00A2778E">
        <w:rPr>
          <w:rFonts w:ascii="Arial" w:eastAsia="Times New Roman" w:hAnsi="Arial" w:cs="Arial"/>
          <w:kern w:val="0"/>
          <w:lang w:eastAsia="es-AR"/>
          <w14:ligatures w14:val="none"/>
        </w:rPr>
        <w:t>Venta_Nro_Venta</w:t>
      </w:r>
      <w:proofErr w:type="spellEnd"/>
      <w:r w:rsidRPr="00A2778E">
        <w:rPr>
          <w:rFonts w:ascii="Arial" w:eastAsia="Times New Roman" w:hAnsi="Arial" w:cs="Arial"/>
          <w:kern w:val="0"/>
          <w:lang w:eastAsia="es-AR"/>
          <w14:ligatures w14:val="none"/>
        </w:rPr>
        <w:t xml:space="preserve"> o </w:t>
      </w:r>
      <w:proofErr w:type="spellStart"/>
      <w:r w:rsidRPr="00A2778E">
        <w:rPr>
          <w:rFonts w:ascii="Arial" w:eastAsia="Times New Roman" w:hAnsi="Arial" w:cs="Arial"/>
          <w:kern w:val="0"/>
          <w:lang w:eastAsia="es-AR"/>
          <w14:ligatures w14:val="none"/>
        </w:rPr>
        <w:t>Agente_Legajo</w:t>
      </w:r>
      <w:proofErr w:type="spellEnd"/>
      <w:r w:rsidRPr="00A2778E">
        <w:rPr>
          <w:rFonts w:ascii="Arial" w:eastAsia="Times New Roman" w:hAnsi="Arial" w:cs="Arial"/>
          <w:kern w:val="0"/>
          <w:lang w:eastAsia="es-AR"/>
          <w14:ligatures w14:val="none"/>
        </w:rPr>
        <w:t>) mitigando las inconsistencias de la base origen sin alterar los datos originales.</w:t>
      </w:r>
    </w:p>
    <w:p w14:paraId="74EB2710" w14:textId="77777777" w:rsidR="00A2778E" w:rsidRPr="00A2778E" w:rsidRDefault="00A2778E" w:rsidP="00A2778E">
      <w:pPr>
        <w:numPr>
          <w:ilvl w:val="0"/>
          <w:numId w:val="4"/>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Manejo de Nulos:</w:t>
      </w:r>
      <w:r w:rsidRPr="00A2778E">
        <w:rPr>
          <w:rFonts w:ascii="Arial" w:eastAsia="Times New Roman" w:hAnsi="Arial" w:cs="Arial"/>
          <w:kern w:val="0"/>
          <w:lang w:eastAsia="es-AR"/>
          <w14:ligatures w14:val="none"/>
        </w:rPr>
        <w:t xml:space="preserve"> Se utilizó la función </w:t>
      </w:r>
      <w:proofErr w:type="gramStart"/>
      <w:r w:rsidRPr="00A2778E">
        <w:rPr>
          <w:rFonts w:ascii="Arial" w:eastAsia="Times New Roman" w:hAnsi="Arial" w:cs="Arial"/>
          <w:kern w:val="0"/>
          <w:lang w:eastAsia="es-AR"/>
          <w14:ligatures w14:val="none"/>
        </w:rPr>
        <w:t>ISNULL(</w:t>
      </w:r>
      <w:proofErr w:type="gramEnd"/>
      <w:r w:rsidRPr="00A2778E">
        <w:rPr>
          <w:rFonts w:ascii="Arial" w:eastAsia="Times New Roman" w:hAnsi="Arial" w:cs="Arial"/>
          <w:kern w:val="0"/>
          <w:lang w:eastAsia="es-AR"/>
          <w14:ligatures w14:val="none"/>
        </w:rPr>
        <w:t xml:space="preserve">) para asignar valores por defecto seguros en campos de tipo bit (como </w:t>
      </w:r>
      <w:proofErr w:type="spellStart"/>
      <w:r w:rsidRPr="00A2778E">
        <w:rPr>
          <w:rFonts w:ascii="Arial" w:eastAsia="Times New Roman" w:hAnsi="Arial" w:cs="Arial"/>
          <w:kern w:val="0"/>
          <w:lang w:eastAsia="es-AR"/>
          <w14:ligatures w14:val="none"/>
        </w:rPr>
        <w:t>vue_incluye_carry</w:t>
      </w:r>
      <w:proofErr w:type="spellEnd"/>
      <w:r w:rsidRPr="00A2778E">
        <w:rPr>
          <w:rFonts w:ascii="Arial" w:eastAsia="Times New Roman" w:hAnsi="Arial" w:cs="Arial"/>
          <w:kern w:val="0"/>
          <w:lang w:eastAsia="es-AR"/>
          <w14:ligatures w14:val="none"/>
        </w:rPr>
        <w:t xml:space="preserve"> o </w:t>
      </w:r>
      <w:proofErr w:type="spellStart"/>
      <w:r w:rsidRPr="00A2778E">
        <w:rPr>
          <w:rFonts w:ascii="Arial" w:eastAsia="Times New Roman" w:hAnsi="Arial" w:cs="Arial"/>
          <w:kern w:val="0"/>
          <w:lang w:eastAsia="es-AR"/>
          <w14:ligatures w14:val="none"/>
        </w:rPr>
        <w:t>hos_incluye_desayuno</w:t>
      </w:r>
      <w:proofErr w:type="spellEnd"/>
      <w:r w:rsidRPr="00A2778E">
        <w:rPr>
          <w:rFonts w:ascii="Arial" w:eastAsia="Times New Roman" w:hAnsi="Arial" w:cs="Arial"/>
          <w:kern w:val="0"/>
          <w:lang w:eastAsia="es-AR"/>
          <w14:ligatures w14:val="none"/>
        </w:rPr>
        <w:t>) cuando la tabla maestra no proveía información.</w:t>
      </w:r>
    </w:p>
    <w:p w14:paraId="7C46956F" w14:textId="77777777" w:rsidR="00A2778E" w:rsidRP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t>5. Optimización y Performance (Índices)</w:t>
      </w:r>
    </w:p>
    <w:p w14:paraId="3ADFB0A5" w14:textId="77777777" w:rsidR="00A2778E" w:rsidRPr="00A2778E" w:rsidRDefault="00A2778E" w:rsidP="00A2778E">
      <w:p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 xml:space="preserve">Para garantizar tiempos de respuesta eficientes en un modelo altamente normalizado (que requiere múltiples </w:t>
      </w:r>
      <w:r w:rsidRPr="00A2778E">
        <w:rPr>
          <w:rFonts w:ascii="Arial" w:eastAsia="Times New Roman" w:hAnsi="Arial" w:cs="Arial"/>
          <w:kern w:val="0"/>
          <w:sz w:val="20"/>
          <w:szCs w:val="20"/>
          <w:lang w:eastAsia="es-AR"/>
          <w14:ligatures w14:val="none"/>
        </w:rPr>
        <w:t>JOINs</w:t>
      </w:r>
      <w:r w:rsidRPr="00A2778E">
        <w:rPr>
          <w:rFonts w:ascii="Arial" w:eastAsia="Times New Roman" w:hAnsi="Arial" w:cs="Arial"/>
          <w:kern w:val="0"/>
          <w:lang w:eastAsia="es-AR"/>
          <w14:ligatures w14:val="none"/>
        </w:rPr>
        <w:t>), se implementó una estrategia de indexación robusta:</w:t>
      </w:r>
    </w:p>
    <w:p w14:paraId="32888462" w14:textId="77777777" w:rsidR="00A2778E" w:rsidRPr="00A2778E" w:rsidRDefault="00A2778E" w:rsidP="00A2778E">
      <w:pPr>
        <w:numPr>
          <w:ilvl w:val="0"/>
          <w:numId w:val="5"/>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 xml:space="preserve">Se crearon índices </w:t>
      </w:r>
      <w:r w:rsidRPr="00A2778E">
        <w:rPr>
          <w:rFonts w:ascii="Arial" w:eastAsia="Times New Roman" w:hAnsi="Arial" w:cs="Arial"/>
          <w:i/>
          <w:iCs/>
          <w:kern w:val="0"/>
          <w:lang w:eastAsia="es-AR"/>
          <w14:ligatures w14:val="none"/>
        </w:rPr>
        <w:t>Non-Clustered</w:t>
      </w:r>
      <w:r w:rsidRPr="00A2778E">
        <w:rPr>
          <w:rFonts w:ascii="Arial" w:eastAsia="Times New Roman" w:hAnsi="Arial" w:cs="Arial"/>
          <w:kern w:val="0"/>
          <w:lang w:eastAsia="es-AR"/>
          <w14:ligatures w14:val="none"/>
        </w:rPr>
        <w:t xml:space="preserve"> en todas las columnas que actúan como Claves Foráneas (FK) para acelerar los cruces de tablas.</w:t>
      </w:r>
    </w:p>
    <w:p w14:paraId="3A4B604B" w14:textId="77777777" w:rsidR="00A2778E" w:rsidRPr="00A2778E" w:rsidRDefault="00A2778E" w:rsidP="00A2778E">
      <w:pPr>
        <w:numPr>
          <w:ilvl w:val="0"/>
          <w:numId w:val="5"/>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Se agregaron índices adicionales en campos de alta concurrencia de búsqueda, tales como los números de documento (</w:t>
      </w:r>
      <w:proofErr w:type="spellStart"/>
      <w:r w:rsidRPr="00A2778E">
        <w:rPr>
          <w:rFonts w:ascii="Arial" w:eastAsia="Times New Roman" w:hAnsi="Arial" w:cs="Arial"/>
          <w:kern w:val="0"/>
          <w:lang w:eastAsia="es-AR"/>
          <w14:ligatures w14:val="none"/>
        </w:rPr>
        <w:t>cli_dni</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agt_dni</w:t>
      </w:r>
      <w:proofErr w:type="spellEnd"/>
      <w:r w:rsidRPr="00A2778E">
        <w:rPr>
          <w:rFonts w:ascii="Arial" w:eastAsia="Times New Roman" w:hAnsi="Arial" w:cs="Arial"/>
          <w:kern w:val="0"/>
          <w:lang w:eastAsia="es-AR"/>
          <w14:ligatures w14:val="none"/>
        </w:rPr>
        <w:t>) y fechas transaccionales clave (</w:t>
      </w:r>
      <w:proofErr w:type="spellStart"/>
      <w:r w:rsidRPr="00A2778E">
        <w:rPr>
          <w:rFonts w:ascii="Arial" w:eastAsia="Times New Roman" w:hAnsi="Arial" w:cs="Arial"/>
          <w:kern w:val="0"/>
          <w:lang w:eastAsia="es-AR"/>
          <w14:ligatures w14:val="none"/>
        </w:rPr>
        <w:t>vue_fecha_salida</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ven_fecha</w:t>
      </w:r>
      <w:proofErr w:type="spellEnd"/>
      <w:r w:rsidRPr="00A2778E">
        <w:rPr>
          <w:rFonts w:ascii="Arial" w:eastAsia="Times New Roman" w:hAnsi="Arial" w:cs="Arial"/>
          <w:kern w:val="0"/>
          <w:lang w:eastAsia="es-AR"/>
          <w14:ligatures w14:val="none"/>
        </w:rPr>
        <w:t xml:space="preserve">, </w:t>
      </w:r>
      <w:proofErr w:type="spellStart"/>
      <w:r w:rsidRPr="00A2778E">
        <w:rPr>
          <w:rFonts w:ascii="Arial" w:eastAsia="Times New Roman" w:hAnsi="Arial" w:cs="Arial"/>
          <w:kern w:val="0"/>
          <w:lang w:eastAsia="es-AR"/>
          <w14:ligatures w14:val="none"/>
        </w:rPr>
        <w:t>sol_fecha_solicitud</w:t>
      </w:r>
      <w:proofErr w:type="spellEnd"/>
      <w:r w:rsidRPr="00A2778E">
        <w:rPr>
          <w:rFonts w:ascii="Arial" w:eastAsia="Times New Roman" w:hAnsi="Arial" w:cs="Arial"/>
          <w:kern w:val="0"/>
          <w:lang w:eastAsia="es-AR"/>
          <w14:ligatures w14:val="none"/>
        </w:rPr>
        <w:t>).</w:t>
      </w:r>
    </w:p>
    <w:p w14:paraId="78B9FC07" w14:textId="77777777" w:rsidR="00A2778E" w:rsidRPr="00A2778E" w:rsidRDefault="00A2778E" w:rsidP="00A2778E">
      <w:pPr>
        <w:spacing w:after="100" w:afterAutospacing="1" w:line="240" w:lineRule="auto"/>
        <w:outlineLvl w:val="1"/>
        <w:rPr>
          <w:rFonts w:ascii="Arial" w:eastAsia="Times New Roman" w:hAnsi="Arial" w:cs="Arial"/>
          <w:b/>
          <w:bCs/>
          <w:kern w:val="0"/>
          <w:sz w:val="36"/>
          <w:szCs w:val="36"/>
          <w:lang w:eastAsia="es-AR"/>
          <w14:ligatures w14:val="none"/>
        </w:rPr>
      </w:pPr>
      <w:r w:rsidRPr="00A2778E">
        <w:rPr>
          <w:rFonts w:ascii="Arial" w:eastAsia="Times New Roman" w:hAnsi="Arial" w:cs="Arial"/>
          <w:b/>
          <w:bCs/>
          <w:kern w:val="0"/>
          <w:sz w:val="36"/>
          <w:szCs w:val="36"/>
          <w:lang w:eastAsia="es-AR"/>
          <w14:ligatures w14:val="none"/>
        </w:rPr>
        <w:t>6. Consideraciones Particulares y Supuestos</w:t>
      </w:r>
    </w:p>
    <w:p w14:paraId="12069022" w14:textId="77777777" w:rsidR="00A2778E" w:rsidRPr="00A2778E" w:rsidRDefault="00A2778E" w:rsidP="00A2778E">
      <w:p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kern w:val="0"/>
          <w:lang w:eastAsia="es-AR"/>
          <w14:ligatures w14:val="none"/>
        </w:rPr>
        <w:t>Durante el proceso de diseño y migración, se asumieron las siguientes consideraciones sobre el dominio del negocio:</w:t>
      </w:r>
    </w:p>
    <w:p w14:paraId="20D417EF" w14:textId="77777777" w:rsidR="00A2778E" w:rsidRPr="00A2778E" w:rsidRDefault="00A2778E" w:rsidP="00A2778E">
      <w:pPr>
        <w:numPr>
          <w:ilvl w:val="0"/>
          <w:numId w:val="6"/>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Relación Agente-Agencia:</w:t>
      </w:r>
      <w:r w:rsidRPr="00A2778E">
        <w:rPr>
          <w:rFonts w:ascii="Arial" w:eastAsia="Times New Roman" w:hAnsi="Arial" w:cs="Arial"/>
          <w:kern w:val="0"/>
          <w:lang w:eastAsia="es-AR"/>
          <w14:ligatures w14:val="none"/>
        </w:rPr>
        <w:t xml:space="preserve"> Se asume que, aunque un agente aparece en varias transacciones en la tabla maestra, pertenece a una única agencia (como se indicó en las reglas de negocio). Se utilizó MIN(</w:t>
      </w:r>
      <w:proofErr w:type="spellStart"/>
      <w:r w:rsidRPr="00A2778E">
        <w:rPr>
          <w:rFonts w:ascii="Arial" w:eastAsia="Times New Roman" w:hAnsi="Arial" w:cs="Arial"/>
          <w:kern w:val="0"/>
          <w:lang w:eastAsia="es-AR"/>
          <w14:ligatures w14:val="none"/>
        </w:rPr>
        <w:t>Agencia_Nro_Agencia</w:t>
      </w:r>
      <w:proofErr w:type="spellEnd"/>
      <w:r w:rsidRPr="00A2778E">
        <w:rPr>
          <w:rFonts w:ascii="Arial" w:eastAsia="Times New Roman" w:hAnsi="Arial" w:cs="Arial"/>
          <w:kern w:val="0"/>
          <w:lang w:eastAsia="es-AR"/>
          <w14:ligatures w14:val="none"/>
        </w:rPr>
        <w:t>) en la migración de Agentes para asociarlo a su agencia principal en caso de inconsistencias en la maestra.</w:t>
      </w:r>
    </w:p>
    <w:p w14:paraId="03A6EC6B" w14:textId="77777777" w:rsidR="00A2778E" w:rsidRPr="00A2778E" w:rsidRDefault="00A2778E" w:rsidP="00A2778E">
      <w:pPr>
        <w:numPr>
          <w:ilvl w:val="0"/>
          <w:numId w:val="6"/>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t>Propuestas y Estado:</w:t>
      </w:r>
      <w:r w:rsidRPr="00A2778E">
        <w:rPr>
          <w:rFonts w:ascii="Arial" w:eastAsia="Times New Roman" w:hAnsi="Arial" w:cs="Arial"/>
          <w:kern w:val="0"/>
          <w:lang w:eastAsia="es-AR"/>
          <w14:ligatures w14:val="none"/>
        </w:rPr>
        <w:t xml:space="preserve"> Se asume que el descuento de una propuesta o venta puede ser cero por defecto si la tabla maestra no lo especifica.</w:t>
      </w:r>
    </w:p>
    <w:p w14:paraId="35C86803" w14:textId="77777777" w:rsidR="00A2778E" w:rsidRPr="00A2778E" w:rsidRDefault="00A2778E" w:rsidP="00A2778E">
      <w:pPr>
        <w:numPr>
          <w:ilvl w:val="0"/>
          <w:numId w:val="6"/>
        </w:numPr>
        <w:spacing w:after="100" w:afterAutospacing="1" w:line="240" w:lineRule="auto"/>
        <w:rPr>
          <w:rFonts w:ascii="Arial" w:eastAsia="Times New Roman" w:hAnsi="Arial" w:cs="Arial"/>
          <w:kern w:val="0"/>
          <w:lang w:eastAsia="es-AR"/>
          <w14:ligatures w14:val="none"/>
        </w:rPr>
      </w:pPr>
      <w:r w:rsidRPr="00A2778E">
        <w:rPr>
          <w:rFonts w:ascii="Arial" w:eastAsia="Times New Roman" w:hAnsi="Arial" w:cs="Arial"/>
          <w:b/>
          <w:bCs/>
          <w:kern w:val="0"/>
          <w:lang w:eastAsia="es-AR"/>
          <w14:ligatures w14:val="none"/>
        </w:rPr>
        <w:lastRenderedPageBreak/>
        <w:t>Detalle de Encuestas:</w:t>
      </w:r>
      <w:r w:rsidRPr="00A2778E">
        <w:rPr>
          <w:rFonts w:ascii="Arial" w:eastAsia="Times New Roman" w:hAnsi="Arial" w:cs="Arial"/>
          <w:kern w:val="0"/>
          <w:lang w:eastAsia="es-AR"/>
          <w14:ligatures w14:val="none"/>
        </w:rPr>
        <w:t xml:space="preserve"> La valoración de encuestas se restringió estrictamente a puntajes entre 1 y 5 mediante un CONSTRAINT CHECK (</w:t>
      </w:r>
      <w:proofErr w:type="spellStart"/>
      <w:r w:rsidRPr="00A2778E">
        <w:rPr>
          <w:rFonts w:ascii="Arial" w:eastAsia="Times New Roman" w:hAnsi="Arial" w:cs="Arial"/>
          <w:kern w:val="0"/>
          <w:lang w:eastAsia="es-AR"/>
          <w14:ligatures w14:val="none"/>
        </w:rPr>
        <w:t>CK_Valoracion_Puntaje</w:t>
      </w:r>
      <w:proofErr w:type="spellEnd"/>
      <w:r w:rsidRPr="00A2778E">
        <w:rPr>
          <w:rFonts w:ascii="Arial" w:eastAsia="Times New Roman" w:hAnsi="Arial" w:cs="Arial"/>
          <w:kern w:val="0"/>
          <w:lang w:eastAsia="es-AR"/>
          <w14:ligatures w14:val="none"/>
        </w:rPr>
        <w:t>). Cualquier dato fuera de este rango en sistemas futuros será rechazado para proteger la calidad de los indicadores de BI.</w:t>
      </w:r>
    </w:p>
    <w:p w14:paraId="2144B514" w14:textId="77777777" w:rsidR="00A2778E" w:rsidRPr="00A2778E" w:rsidRDefault="00A2778E" w:rsidP="00A2778E">
      <w:pPr>
        <w:jc w:val="center"/>
        <w:rPr>
          <w:rFonts w:ascii="Arial" w:hAnsi="Arial" w:cs="Arial"/>
          <w:sz w:val="42"/>
          <w:szCs w:val="42"/>
        </w:rPr>
      </w:pPr>
    </w:p>
    <w:sectPr w:rsidR="00A2778E" w:rsidRPr="00A2778E" w:rsidSect="00247F2A">
      <w:pgSz w:w="11906" w:h="16838"/>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6E47"/>
    <w:multiLevelType w:val="multilevel"/>
    <w:tmpl w:val="F1C6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E6FCD"/>
    <w:multiLevelType w:val="multilevel"/>
    <w:tmpl w:val="AE26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C0DBD"/>
    <w:multiLevelType w:val="multilevel"/>
    <w:tmpl w:val="6690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C51DA"/>
    <w:multiLevelType w:val="multilevel"/>
    <w:tmpl w:val="E02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A5938"/>
    <w:multiLevelType w:val="multilevel"/>
    <w:tmpl w:val="1A40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2527D7"/>
    <w:multiLevelType w:val="multilevel"/>
    <w:tmpl w:val="543C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111EAB"/>
    <w:multiLevelType w:val="multilevel"/>
    <w:tmpl w:val="985C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163537">
    <w:abstractNumId w:val="0"/>
  </w:num>
  <w:num w:numId="2" w16cid:durableId="1737361062">
    <w:abstractNumId w:val="5"/>
  </w:num>
  <w:num w:numId="3" w16cid:durableId="39403730">
    <w:abstractNumId w:val="6"/>
  </w:num>
  <w:num w:numId="4" w16cid:durableId="200678518">
    <w:abstractNumId w:val="4"/>
  </w:num>
  <w:num w:numId="5" w16cid:durableId="2010060890">
    <w:abstractNumId w:val="1"/>
  </w:num>
  <w:num w:numId="6" w16cid:durableId="292172458">
    <w:abstractNumId w:val="3"/>
  </w:num>
  <w:num w:numId="7" w16cid:durableId="1893038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8E"/>
    <w:rsid w:val="00247F2A"/>
    <w:rsid w:val="003E41A0"/>
    <w:rsid w:val="00A2778E"/>
    <w:rsid w:val="00AA3FFE"/>
    <w:rsid w:val="00CD56F7"/>
    <w:rsid w:val="00DF7B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BCD5"/>
  <w15:chartTrackingRefBased/>
  <w15:docId w15:val="{B2AB010B-7BB6-4896-8342-3C102424B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8E"/>
    <w:rPr>
      <w:rFonts w:eastAsiaTheme="majorEastAsia" w:cstheme="majorBidi"/>
      <w:color w:val="272727" w:themeColor="text1" w:themeTint="D8"/>
    </w:rPr>
  </w:style>
  <w:style w:type="paragraph" w:styleId="Title">
    <w:name w:val="Title"/>
    <w:basedOn w:val="Normal"/>
    <w:next w:val="Normal"/>
    <w:link w:val="TitleChar"/>
    <w:uiPriority w:val="10"/>
    <w:qFormat/>
    <w:rsid w:val="00A27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8E"/>
    <w:pPr>
      <w:spacing w:before="160"/>
      <w:jc w:val="center"/>
    </w:pPr>
    <w:rPr>
      <w:i/>
      <w:iCs/>
      <w:color w:val="404040" w:themeColor="text1" w:themeTint="BF"/>
    </w:rPr>
  </w:style>
  <w:style w:type="character" w:customStyle="1" w:styleId="QuoteChar">
    <w:name w:val="Quote Char"/>
    <w:basedOn w:val="DefaultParagraphFont"/>
    <w:link w:val="Quote"/>
    <w:uiPriority w:val="29"/>
    <w:rsid w:val="00A2778E"/>
    <w:rPr>
      <w:i/>
      <w:iCs/>
      <w:color w:val="404040" w:themeColor="text1" w:themeTint="BF"/>
    </w:rPr>
  </w:style>
  <w:style w:type="paragraph" w:styleId="ListParagraph">
    <w:name w:val="List Paragraph"/>
    <w:basedOn w:val="Normal"/>
    <w:uiPriority w:val="34"/>
    <w:qFormat/>
    <w:rsid w:val="00A2778E"/>
    <w:pPr>
      <w:ind w:left="720"/>
      <w:contextualSpacing/>
    </w:pPr>
  </w:style>
  <w:style w:type="character" w:styleId="IntenseEmphasis">
    <w:name w:val="Intense Emphasis"/>
    <w:basedOn w:val="DefaultParagraphFont"/>
    <w:uiPriority w:val="21"/>
    <w:qFormat/>
    <w:rsid w:val="00A2778E"/>
    <w:rPr>
      <w:i/>
      <w:iCs/>
      <w:color w:val="0F4761" w:themeColor="accent1" w:themeShade="BF"/>
    </w:rPr>
  </w:style>
  <w:style w:type="paragraph" w:styleId="IntenseQuote">
    <w:name w:val="Intense Quote"/>
    <w:basedOn w:val="Normal"/>
    <w:next w:val="Normal"/>
    <w:link w:val="IntenseQuoteChar"/>
    <w:uiPriority w:val="30"/>
    <w:qFormat/>
    <w:rsid w:val="00A27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8E"/>
    <w:rPr>
      <w:i/>
      <w:iCs/>
      <w:color w:val="0F4761" w:themeColor="accent1" w:themeShade="BF"/>
    </w:rPr>
  </w:style>
  <w:style w:type="character" w:styleId="IntenseReference">
    <w:name w:val="Intense Reference"/>
    <w:basedOn w:val="DefaultParagraphFont"/>
    <w:uiPriority w:val="32"/>
    <w:qFormat/>
    <w:rsid w:val="00A27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9E324-7605-416E-93C4-EC9FA76F2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812</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grillo</dc:creator>
  <cp:keywords/>
  <dc:description/>
  <cp:lastModifiedBy>gonzalo grillo</cp:lastModifiedBy>
  <cp:revision>1</cp:revision>
  <dcterms:created xsi:type="dcterms:W3CDTF">2026-05-30T00:00:00Z</dcterms:created>
  <dcterms:modified xsi:type="dcterms:W3CDTF">2026-05-30T00:15:00Z</dcterms:modified>
</cp:coreProperties>
</file>