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1539" w14:textId="77777777" w:rsidR="001A7FE8" w:rsidRDefault="00F749ED">
      <w:pPr>
        <w:spacing w:before="240" w:after="240"/>
        <w:jc w:val="center"/>
        <w:rPr>
          <w:rFonts w:ascii="Latin Modern Roman Caps" w:eastAsia="Latin Modern Roman Caps" w:hAnsi="Latin Modern Roman Caps" w:cs="Latin Modern Roman Caps"/>
          <w:b/>
          <w:sz w:val="36"/>
          <w:szCs w:val="36"/>
        </w:rPr>
      </w:pPr>
      <w:r>
        <w:rPr>
          <w:rFonts w:ascii="Latin Modern Roman Caps" w:eastAsia="Latin Modern Roman Caps" w:hAnsi="Latin Modern Roman Caps" w:cs="Latin Modern Roman Caps"/>
          <w:b/>
          <w:sz w:val="36"/>
          <w:szCs w:val="36"/>
        </w:rPr>
        <w:t xml:space="preserve">Comprensión de algunas nociones básicas </w:t>
      </w:r>
      <w:proofErr w:type="gramStart"/>
      <w:r>
        <w:rPr>
          <w:rFonts w:ascii="Latin Modern Roman Caps" w:eastAsia="Latin Modern Roman Caps" w:hAnsi="Latin Modern Roman Caps" w:cs="Latin Modern Roman Caps"/>
          <w:b/>
          <w:sz w:val="36"/>
          <w:szCs w:val="36"/>
        </w:rPr>
        <w:t>de  trigonometría</w:t>
      </w:r>
      <w:proofErr w:type="gramEnd"/>
      <w:r>
        <w:rPr>
          <w:rFonts w:ascii="Latin Modern Roman Caps" w:eastAsia="Latin Modern Roman Caps" w:hAnsi="Latin Modern Roman Caps" w:cs="Latin Modern Roman Caps"/>
          <w:b/>
          <w:sz w:val="36"/>
          <w:szCs w:val="36"/>
        </w:rPr>
        <w:t xml:space="preserve"> enfatizando la  visualización y uso de registros semióticos de representación.</w:t>
      </w:r>
    </w:p>
    <w:p w14:paraId="38390579" w14:textId="77777777" w:rsidR="001A7FE8" w:rsidRDefault="001A7F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atin Modern Roman Caps" w:eastAsia="Latin Modern Roman Caps" w:hAnsi="Latin Modern Roman Caps" w:cs="Latin Modern Roman Caps"/>
          <w:b/>
          <w:sz w:val="36"/>
          <w:szCs w:val="36"/>
        </w:rPr>
      </w:pPr>
    </w:p>
    <w:p w14:paraId="7E93BDA8" w14:textId="77777777" w:rsidR="001A7FE8" w:rsidRDefault="00F749E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Resumen</w:t>
      </w:r>
    </w:p>
    <w:p w14:paraId="04DFD9E9" w14:textId="77777777" w:rsidR="001A7FE8" w:rsidRDefault="00F749ED">
      <w:pPr>
        <w:ind w:left="1024" w:right="1024" w:firstLine="300"/>
      </w:pPr>
      <w:r>
        <w:t xml:space="preserve">  La </w:t>
      </w:r>
      <w:proofErr w:type="gramStart"/>
      <w:r>
        <w:t>trigonometría  es</w:t>
      </w:r>
      <w:proofErr w:type="gramEnd"/>
      <w:r>
        <w:t xml:space="preserve"> un tópico en el que la mayoría de los estudiantes del nivel  medio tienen dificultades </w:t>
      </w:r>
      <w:r>
        <w:t>para la comprensión del mismo. Algunas investigaciones como la de Torre, Montiel y Cuevas (2014) y Moore (2014</w:t>
      </w:r>
      <w:proofErr w:type="gramStart"/>
      <w:r>
        <w:t>)  consideran</w:t>
      </w:r>
      <w:proofErr w:type="gramEnd"/>
      <w:r>
        <w:t xml:space="preserve"> que es frecuente que los docentes tiendan a aritmetizar la trigonometría descuidando el contexto  geométrico que proporciona el círc</w:t>
      </w:r>
      <w:r>
        <w:t xml:space="preserve">ulo trigonométrico. En </w:t>
      </w:r>
      <w:proofErr w:type="gramStart"/>
      <w:r>
        <w:t>este  taller</w:t>
      </w:r>
      <w:proofErr w:type="gramEnd"/>
      <w:r>
        <w:t xml:space="preserve"> se revisarán los errores y dificultades más frecuentes de los estudiantes, analizando los obstáculos epistemológicos y didácticos  que podrían provocarlos. Además, teniendo en cuenta que la trigonometría vincula diferent</w:t>
      </w:r>
      <w:r>
        <w:t xml:space="preserve">es tipos de pensamientos matemáticos: geométrico, métrico, algebraico y </w:t>
      </w:r>
      <w:proofErr w:type="gramStart"/>
      <w:r>
        <w:t>variacional ,</w:t>
      </w:r>
      <w:proofErr w:type="gramEnd"/>
      <w:r>
        <w:t xml:space="preserve"> se propondrá  hacer uso de los distintos registros semióticos definidos  por Duval (1993) para propiciar la significación  de conceptos como circunferencia trigonométrica</w:t>
      </w:r>
      <w:r>
        <w:t xml:space="preserve">, funciones trigonométricas y ecuaciones trigonométricas. Se propondrán estrategias </w:t>
      </w:r>
      <w:proofErr w:type="gramStart"/>
      <w:r>
        <w:t>metodológicas  que</w:t>
      </w:r>
      <w:proofErr w:type="gramEnd"/>
      <w:r>
        <w:t xml:space="preserve">  harán   hincapié en el proceso de visualización, como fuente de razonamiento deductivo,  para favorecer la generalización, buscando que el estudiante se</w:t>
      </w:r>
      <w:r>
        <w:t xml:space="preserve">a capaz de realizar transformaciones y conversiones de registros de representación .  Se </w:t>
      </w:r>
      <w:proofErr w:type="gramStart"/>
      <w:r>
        <w:t>utilizará  el</w:t>
      </w:r>
      <w:proofErr w:type="gramEnd"/>
      <w:r>
        <w:t xml:space="preserve"> software dinámico  Geogebra, ya que es  una herramienta fundamental  que permitirá que el estudiante articule múltiples representaciones, explorando, rel</w:t>
      </w:r>
      <w:r>
        <w:t>acionando y conjeturando y así favorecer el aprendizaje activo  de la trigonometría.</w:t>
      </w:r>
    </w:p>
    <w:p w14:paraId="1AB76722" w14:textId="77777777" w:rsidR="001A7FE8" w:rsidRDefault="001A7FE8">
      <w:pPr>
        <w:ind w:left="1024" w:right="1024" w:firstLine="300"/>
      </w:pPr>
    </w:p>
    <w:p w14:paraId="08FC52A1" w14:textId="77777777" w:rsidR="001A7FE8" w:rsidRDefault="001A7FE8">
      <w:pPr>
        <w:ind w:left="1024" w:right="1024" w:firstLine="300"/>
        <w:rPr>
          <w:sz w:val="22"/>
          <w:szCs w:val="22"/>
        </w:rPr>
      </w:pPr>
    </w:p>
    <w:p w14:paraId="52FAA4B5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1    </w:t>
      </w:r>
      <w:proofErr w:type="gramStart"/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>Contenidos</w:t>
      </w:r>
      <w:proofErr w:type="gramEnd"/>
    </w:p>
    <w:p w14:paraId="748D92C3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Errores y dificultades en la enseñanza y aprendizaje de la trigonometría. Pensamiento matemático: geométrico, métrico, algebraico y variacional. La visua</w:t>
      </w:r>
      <w:r>
        <w:rPr>
          <w:sz w:val="24"/>
        </w:rPr>
        <w:t>lización en matemática.  Teoría de las representaciones semióticas de Duval. Circunferencia trigonométrica y goniométrica. Funciones trigonométricas de un número real. Ecuaciones trigonométricas. Uso de Tic´s: Geogebra.</w:t>
      </w:r>
    </w:p>
    <w:p w14:paraId="764428F7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Esta sección debe usarse para indica</w:t>
      </w:r>
      <w:r>
        <w:rPr>
          <w:sz w:val="24"/>
        </w:rPr>
        <w:t xml:space="preserve">r el total de contenidos que se desarrollará a lo largo del taller. </w:t>
      </w:r>
    </w:p>
    <w:p w14:paraId="2FE47BC0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</w:pPr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 xml:space="preserve">2    </w:t>
      </w:r>
      <w:proofErr w:type="gramStart"/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>Requisitos</w:t>
      </w:r>
      <w:proofErr w:type="gramEnd"/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 xml:space="preserve"> Previos</w:t>
      </w:r>
    </w:p>
    <w:p w14:paraId="6B6C3D81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 xml:space="preserve">Uso de herramientas de geometría y de funciones de Geogebra. Conocimiento de Razones </w:t>
      </w:r>
      <w:proofErr w:type="gramStart"/>
      <w:r>
        <w:rPr>
          <w:sz w:val="24"/>
        </w:rPr>
        <w:t>trigonométricas  y</w:t>
      </w:r>
      <w:proofErr w:type="gramEnd"/>
      <w:r>
        <w:rPr>
          <w:sz w:val="24"/>
        </w:rPr>
        <w:t xml:space="preserve"> Circunferencia trigonométrica.</w:t>
      </w:r>
    </w:p>
    <w:p w14:paraId="32806604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</w:pPr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 xml:space="preserve">3    </w:t>
      </w:r>
      <w:proofErr w:type="gramStart"/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>Objetivos</w:t>
      </w:r>
      <w:proofErr w:type="gramEnd"/>
    </w:p>
    <w:p w14:paraId="02D66D84" w14:textId="77777777" w:rsidR="001A7FE8" w:rsidRDefault="001A7FE8">
      <w:pPr>
        <w:spacing w:before="60"/>
        <w:rPr>
          <w:color w:val="FF9900"/>
          <w:sz w:val="24"/>
        </w:rPr>
      </w:pPr>
    </w:p>
    <w:p w14:paraId="77340E0F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 xml:space="preserve">Reconocer y analizar errores y dificultades más frecuentes de los estudiantes cuando </w:t>
      </w:r>
      <w:proofErr w:type="gramStart"/>
      <w:r>
        <w:rPr>
          <w:sz w:val="24"/>
        </w:rPr>
        <w:t>resuelven  situaciones</w:t>
      </w:r>
      <w:proofErr w:type="gramEnd"/>
      <w:r>
        <w:rPr>
          <w:sz w:val="24"/>
        </w:rPr>
        <w:t xml:space="preserve"> vinculadas a la trigonometría.</w:t>
      </w:r>
    </w:p>
    <w:p w14:paraId="230C3CA1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lastRenderedPageBreak/>
        <w:t>Valorar el uso de los diferentes registros semióticos de representación para promover la significación de algunos con</w:t>
      </w:r>
      <w:r>
        <w:rPr>
          <w:sz w:val="24"/>
        </w:rPr>
        <w:t>ceptos en trigonometría.</w:t>
      </w:r>
    </w:p>
    <w:p w14:paraId="277EBB8A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Incorporar el Geogebra como herramienta que potencia la coordinación de múltiples registros de representación posibilitando la comprensión de conceptos en trigonometría.</w:t>
      </w:r>
    </w:p>
    <w:p w14:paraId="43ED68CF" w14:textId="77777777" w:rsidR="001A7FE8" w:rsidRDefault="001A7FE8">
      <w:pPr>
        <w:spacing w:before="60"/>
        <w:rPr>
          <w:sz w:val="24"/>
        </w:rPr>
      </w:pPr>
    </w:p>
    <w:p w14:paraId="05DAB893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4</w:t>
      </w:r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> </w:t>
      </w:r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 xml:space="preserve">   </w:t>
      </w:r>
      <w:proofErr w:type="gramStart"/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>Actividades</w:t>
      </w:r>
      <w:proofErr w:type="gramEnd"/>
    </w:p>
    <w:p w14:paraId="32E79E0B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180" w:after="120"/>
        <w:jc w:val="left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4.1    Actividades Previas</w:t>
      </w:r>
    </w:p>
    <w:p w14:paraId="7AA6E023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 xml:space="preserve">Se proponen dos </w:t>
      </w:r>
      <w:r>
        <w:rPr>
          <w:sz w:val="24"/>
        </w:rPr>
        <w:t xml:space="preserve">actividades consistentes en cuestionarios. Se indicará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si aún no ha enseñado trigonometría o no tiene experiencia como docente, que se apoye en su trayectoria como estudiante del nivel medio o como practicante en una escuela asociada, para responder el</w:t>
      </w:r>
      <w:r>
        <w:rPr>
          <w:sz w:val="24"/>
        </w:rPr>
        <w:t xml:space="preserve"> mismo.</w:t>
      </w:r>
    </w:p>
    <w:p w14:paraId="6EF19E3E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continuación</w:t>
      </w:r>
      <w:proofErr w:type="gramEnd"/>
      <w:r>
        <w:rPr>
          <w:sz w:val="24"/>
        </w:rPr>
        <w:t xml:space="preserve"> se muestran las actividades previas propuestas</w:t>
      </w:r>
    </w:p>
    <w:p w14:paraId="4650905B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Actividad1:</w:t>
      </w:r>
    </w:p>
    <w:p w14:paraId="1BBED930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Teniendo en cuenta que Godino, Batanero y Font (2003) destacan la diferenciación existente entre los términos error y dificultad. Mientras el error se refiere a si “una práct</w:t>
      </w:r>
      <w:r>
        <w:rPr>
          <w:sz w:val="24"/>
        </w:rPr>
        <w:t xml:space="preserve">ica es válida o no desde el punto de vista de la institución escolar”, la dificultad se refiere al “mayor o menor grado de éxito de los alumnos ante una tarea o tema de estudio”. Por ejemplo, un error </w:t>
      </w:r>
      <w:proofErr w:type="gramStart"/>
      <w:r>
        <w:rPr>
          <w:sz w:val="24"/>
        </w:rPr>
        <w:t>frecuente  cuando</w:t>
      </w:r>
      <w:proofErr w:type="gramEnd"/>
      <w:r>
        <w:rPr>
          <w:sz w:val="24"/>
        </w:rPr>
        <w:t xml:space="preserve"> resuelven ecuaciones es que transpone</w:t>
      </w:r>
      <w:r>
        <w:rPr>
          <w:sz w:val="24"/>
        </w:rPr>
        <w:t>n como un término positivo a un factor negativo. Una dificultad en la resolución de ecuaciones es que los estudiantes no tienen dominio de las operaciones con números enteros o racionales. Responda:</w:t>
      </w:r>
    </w:p>
    <w:p w14:paraId="039ED005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a. ¿Cuáles son algunos errores frecuentes que cometen los</w:t>
      </w:r>
      <w:r>
        <w:rPr>
          <w:sz w:val="24"/>
        </w:rPr>
        <w:t xml:space="preserve"> estudiantes cuando resuelven actividades vinculadas a la trigonometría?</w:t>
      </w:r>
    </w:p>
    <w:p w14:paraId="7E9F1186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b. ¿Qué dificultades puede identificar en el aprendizaje de la trigonometría?</w:t>
      </w:r>
    </w:p>
    <w:p w14:paraId="37704D59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c. Observe el siguiente gráfico de la función seno realizado por una estudiante, identifique errores en e</w:t>
      </w:r>
      <w:r>
        <w:rPr>
          <w:sz w:val="24"/>
        </w:rPr>
        <w:t>l mismo. f(x)= sen x,</w:t>
      </w:r>
    </w:p>
    <w:p w14:paraId="6A5418FC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 xml:space="preserve"> Actividad 2:</w:t>
      </w:r>
    </w:p>
    <w:p w14:paraId="374F6A97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Responda</w:t>
      </w:r>
    </w:p>
    <w:p w14:paraId="7CB90409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>2.1.¿Considera que la trigonometría es de difícil comprensión para los estudiantes? ¿por qué?</w:t>
      </w:r>
    </w:p>
    <w:p w14:paraId="60DCBDA9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 xml:space="preserve">Teniendo en cuenta los diseños curriculares de Matemática de su provincia, para ciclo básico y superior del nivel medio y escuelas técnicas </w:t>
      </w:r>
      <w:proofErr w:type="gramStart"/>
      <w:r>
        <w:rPr>
          <w:sz w:val="24"/>
        </w:rPr>
        <w:t>( se</w:t>
      </w:r>
      <w:proofErr w:type="gramEnd"/>
      <w:r>
        <w:rPr>
          <w:sz w:val="24"/>
        </w:rPr>
        <w:t xml:space="preserve"> anexa una tabla para la provincia de Salta)</w:t>
      </w:r>
    </w:p>
    <w:p w14:paraId="0F64E7EB" w14:textId="77777777" w:rsidR="001A7FE8" w:rsidRDefault="00F749ED">
      <w:pPr>
        <w:spacing w:before="240" w:after="240"/>
        <w:ind w:left="360"/>
        <w:rPr>
          <w:sz w:val="24"/>
        </w:rPr>
      </w:pPr>
      <w:r>
        <w:rPr>
          <w:sz w:val="24"/>
        </w:rPr>
        <w:t>a.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</w:rPr>
        <w:t>¿Cuáles contenidos se desarrollan en su escuela?</w:t>
      </w:r>
    </w:p>
    <w:p w14:paraId="2D21EEF3" w14:textId="77777777" w:rsidR="001A7FE8" w:rsidRDefault="00F749ED">
      <w:pPr>
        <w:spacing w:before="240" w:after="240"/>
        <w:ind w:left="360"/>
        <w:rPr>
          <w:sz w:val="24"/>
        </w:rPr>
      </w:pPr>
      <w:r>
        <w:rPr>
          <w:sz w:val="24"/>
        </w:rPr>
        <w:t>b.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</w:rPr>
        <w:t xml:space="preserve">Si no </w:t>
      </w:r>
      <w:r>
        <w:rPr>
          <w:sz w:val="24"/>
        </w:rPr>
        <w:t xml:space="preserve">se desarrollan todos los </w:t>
      </w:r>
      <w:proofErr w:type="gramStart"/>
      <w:r>
        <w:rPr>
          <w:sz w:val="24"/>
        </w:rPr>
        <w:t>contenidos .</w:t>
      </w:r>
      <w:proofErr w:type="gramEnd"/>
      <w:r>
        <w:rPr>
          <w:sz w:val="24"/>
        </w:rPr>
        <w:t xml:space="preserve"> ¿Cuál será el motivo?</w:t>
      </w:r>
    </w:p>
    <w:p w14:paraId="09D8AC2F" w14:textId="77777777" w:rsidR="001A7FE8" w:rsidRDefault="00F749ED">
      <w:pPr>
        <w:spacing w:before="240" w:after="240"/>
        <w:rPr>
          <w:sz w:val="24"/>
        </w:rPr>
      </w:pPr>
      <w:r>
        <w:rPr>
          <w:sz w:val="24"/>
        </w:rPr>
        <w:t xml:space="preserve">2.2 ¿Utiliza algún software para la enseñanza de temas de trigonometría?, ¿cuál? ¿Y para qué temas de </w:t>
      </w:r>
      <w:proofErr w:type="gramStart"/>
      <w:r>
        <w:rPr>
          <w:sz w:val="24"/>
        </w:rPr>
        <w:t>trigonometría  lo</w:t>
      </w:r>
      <w:proofErr w:type="gramEnd"/>
      <w:r>
        <w:rPr>
          <w:sz w:val="24"/>
        </w:rPr>
        <w:t xml:space="preserve"> utiliza?</w:t>
      </w:r>
    </w:p>
    <w:p w14:paraId="58523AA0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eastAsia="Times New Roman" w:cs="Times New Roman"/>
          <w:b/>
          <w:color w:val="000000"/>
          <w:sz w:val="32"/>
          <w:szCs w:val="32"/>
        </w:rPr>
      </w:pPr>
      <w:bookmarkStart w:id="0" w:name="bookmark=id.gjdgxs" w:colFirst="0" w:colLast="0"/>
      <w:bookmarkEnd w:id="0"/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4.2    Primeras dos horas sincrónicas</w:t>
      </w:r>
    </w:p>
    <w:p w14:paraId="659FE4C3" w14:textId="77777777" w:rsidR="001A7FE8" w:rsidRDefault="00F749ED">
      <w:pPr>
        <w:spacing w:after="160"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Contenidos: Errores y dificul</w:t>
      </w:r>
      <w:r>
        <w:rPr>
          <w:rFonts w:ascii="Calibri" w:eastAsia="Calibri" w:hAnsi="Calibri" w:cs="Calibri"/>
          <w:sz w:val="22"/>
          <w:szCs w:val="22"/>
        </w:rPr>
        <w:t>tades en la enseñanza de la trigonometría. Pensamiento matemático. La visualización en matemática. Circunferencia trigonométrica.</w:t>
      </w:r>
    </w:p>
    <w:p w14:paraId="42180879" w14:textId="77777777" w:rsidR="001A7FE8" w:rsidRDefault="00F749E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1.Se recuperarán las respuestas de la actividad previa para sistematizar errores y dificultades identificados.</w:t>
      </w:r>
    </w:p>
    <w:p w14:paraId="2F09D88F" w14:textId="77777777" w:rsidR="001A7FE8" w:rsidRDefault="00F749E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2.Se presentará</w:t>
      </w:r>
      <w:r>
        <w:rPr>
          <w:rFonts w:ascii="Calibri" w:eastAsia="Calibri" w:hAnsi="Calibri" w:cs="Calibri"/>
          <w:sz w:val="22"/>
          <w:szCs w:val="22"/>
        </w:rPr>
        <w:t xml:space="preserve"> a través de una presentación en power point los errores y dificultades aportados por las investigaciones en la temática. Se diferenciará el origen epistemológico o didáctico de los mismos.</w:t>
      </w:r>
    </w:p>
    <w:p w14:paraId="27C5AE2F" w14:textId="77777777" w:rsidR="001A7FE8" w:rsidRDefault="00F749E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3.Se presentará una actividad en el círculo trigonométrico propues</w:t>
      </w:r>
      <w:r>
        <w:rPr>
          <w:rFonts w:ascii="Calibri" w:eastAsia="Calibri" w:hAnsi="Calibri" w:cs="Calibri"/>
          <w:sz w:val="22"/>
          <w:szCs w:val="22"/>
        </w:rPr>
        <w:t xml:space="preserve">ta por Mendez (2020), que los docentes deberán resolver en grupos. Para la misma se utilizarán grupos en la plataforma </w:t>
      </w:r>
      <w:proofErr w:type="gramStart"/>
      <w:r>
        <w:rPr>
          <w:rFonts w:ascii="Calibri" w:eastAsia="Calibri" w:hAnsi="Calibri" w:cs="Calibri"/>
          <w:sz w:val="22"/>
          <w:szCs w:val="22"/>
        </w:rPr>
        <w:t>Zoom</w:t>
      </w:r>
      <w:proofErr w:type="gramEnd"/>
      <w:r>
        <w:rPr>
          <w:rFonts w:ascii="Calibri" w:eastAsia="Calibri" w:hAnsi="Calibri" w:cs="Calibri"/>
          <w:sz w:val="22"/>
          <w:szCs w:val="22"/>
        </w:rPr>
        <w:t>, los talleristas recorrerán los mismos para orientar y recabar información sobre la solución que proponen. Posteriormente se realiza</w:t>
      </w:r>
      <w:r>
        <w:rPr>
          <w:rFonts w:ascii="Calibri" w:eastAsia="Calibri" w:hAnsi="Calibri" w:cs="Calibri"/>
          <w:sz w:val="22"/>
          <w:szCs w:val="22"/>
        </w:rPr>
        <w:t xml:space="preserve"> una puesta en común con al menos dos resoluciones diferentes. </w:t>
      </w:r>
    </w:p>
    <w:p w14:paraId="65B7F872" w14:textId="77777777" w:rsidR="001A7FE8" w:rsidRDefault="00F749E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4.Un tallerista realizará el cierre de la actividad haciendo hincapié en la visualización y </w:t>
      </w:r>
      <w:proofErr w:type="gramStart"/>
      <w:r>
        <w:rPr>
          <w:rFonts w:ascii="Calibri" w:eastAsia="Calibri" w:hAnsi="Calibri" w:cs="Calibri"/>
          <w:sz w:val="22"/>
          <w:szCs w:val="22"/>
        </w:rPr>
        <w:t>presentando  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través de power point  el marco teórico de pensamiento matemático y proceso de visual</w:t>
      </w:r>
      <w:r>
        <w:rPr>
          <w:rFonts w:ascii="Calibri" w:eastAsia="Calibri" w:hAnsi="Calibri" w:cs="Calibri"/>
          <w:sz w:val="22"/>
          <w:szCs w:val="22"/>
        </w:rPr>
        <w:t>ización.</w:t>
      </w:r>
    </w:p>
    <w:p w14:paraId="5DC3102B" w14:textId="77777777" w:rsidR="001A7FE8" w:rsidRDefault="001A7FE8">
      <w:pPr>
        <w:spacing w:after="160" w:line="259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1F502AE6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eastAsia="Times New Roman" w:cs="Times New Roman"/>
          <w:b/>
          <w:color w:val="000000"/>
          <w:sz w:val="32"/>
          <w:szCs w:val="32"/>
        </w:rPr>
      </w:pPr>
      <w:bookmarkStart w:id="1" w:name="bookmark=id.30j0zll" w:colFirst="0" w:colLast="0"/>
      <w:bookmarkEnd w:id="1"/>
      <w:r>
        <w:rPr>
          <w:rFonts w:eastAsia="Times New Roman" w:cs="Times New Roman"/>
          <w:b/>
          <w:color w:val="000000"/>
          <w:sz w:val="32"/>
          <w:szCs w:val="32"/>
        </w:rPr>
        <w:t>4.3    Primeras dos horas Entre Clases</w:t>
      </w:r>
    </w:p>
    <w:p w14:paraId="618A74E5" w14:textId="77777777" w:rsidR="001A7FE8" w:rsidRDefault="001A7FE8">
      <w:pPr>
        <w:spacing w:before="60"/>
        <w:rPr>
          <w:sz w:val="24"/>
        </w:rPr>
      </w:pPr>
    </w:p>
    <w:p w14:paraId="17B37000" w14:textId="77777777" w:rsidR="001A7FE8" w:rsidRDefault="00F749ED">
      <w:pPr>
        <w:spacing w:after="160" w:line="259" w:lineRule="auto"/>
        <w:jc w:val="left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Contenidos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visualización. Registros semióticos de representación de Duval. Circunferencia trigonométrica y goniométrica.</w:t>
      </w:r>
    </w:p>
    <w:p w14:paraId="59DC7EAC" w14:textId="77777777" w:rsidR="001A7FE8" w:rsidRDefault="00F749ED">
      <w:pPr>
        <w:numPr>
          <w:ilvl w:val="0"/>
          <w:numId w:val="3"/>
        </w:numPr>
        <w:spacing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proporcionará un texto resumido sobre los registros semióticos de representación</w:t>
      </w:r>
      <w:r>
        <w:rPr>
          <w:rFonts w:ascii="Calibri" w:eastAsia="Calibri" w:hAnsi="Calibri" w:cs="Calibri"/>
          <w:sz w:val="22"/>
          <w:szCs w:val="22"/>
        </w:rPr>
        <w:t xml:space="preserve"> semiótica de Duval que los cursantes deben leer.</w:t>
      </w:r>
    </w:p>
    <w:p w14:paraId="7AF4820B" w14:textId="77777777" w:rsidR="001A7FE8" w:rsidRDefault="00F749ED">
      <w:pPr>
        <w:numPr>
          <w:ilvl w:val="0"/>
          <w:numId w:val="3"/>
        </w:numPr>
        <w:spacing w:after="160"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mostrará la actividad completa propuesta por Mendez (2020, pag 73</w:t>
      </w:r>
      <w:proofErr w:type="gramStart"/>
      <w:r>
        <w:rPr>
          <w:rFonts w:ascii="Calibri" w:eastAsia="Calibri" w:hAnsi="Calibri" w:cs="Calibri"/>
          <w:sz w:val="22"/>
          <w:szCs w:val="22"/>
        </w:rPr>
        <w:t>) 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Deberán resolverla usando Geogebra </w:t>
      </w:r>
      <w:proofErr w:type="gramStart"/>
      <w:r>
        <w:rPr>
          <w:rFonts w:ascii="Calibri" w:eastAsia="Calibri" w:hAnsi="Calibri" w:cs="Calibri"/>
          <w:sz w:val="22"/>
          <w:szCs w:val="22"/>
        </w:rPr>
        <w:t>e  identificar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registros , transformaciones y conversiones.</w:t>
      </w:r>
    </w:p>
    <w:p w14:paraId="112DDFFA" w14:textId="77777777" w:rsidR="001A7FE8" w:rsidRDefault="00F749ED">
      <w:pPr>
        <w:spacing w:after="160" w:line="259" w:lineRule="auto"/>
        <w:ind w:left="72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(se transcribe parte de la actividad)</w:t>
      </w:r>
    </w:p>
    <w:p w14:paraId="27F63697" w14:textId="77777777" w:rsidR="001A7FE8" w:rsidRDefault="00F749ED">
      <w:pPr>
        <w:spacing w:before="240" w:line="276" w:lineRule="auto"/>
        <w:ind w:left="360"/>
        <w:jc w:val="left"/>
      </w:pPr>
      <w:r>
        <w:rPr>
          <w:b/>
        </w:rPr>
        <w:t>1)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Abra el archivo </w:t>
      </w:r>
      <w:r>
        <w:rPr>
          <w:b/>
          <w:i/>
          <w:color w:val="0563C1"/>
        </w:rPr>
        <w:t xml:space="preserve">“Tarea 1”. </w:t>
      </w:r>
      <w:r>
        <w:t>Arrastre el punto B y observe lo que sucede. A continuación:</w:t>
      </w:r>
    </w:p>
    <w:p w14:paraId="2B98FE3F" w14:textId="77777777" w:rsidR="001A7FE8" w:rsidRDefault="00F749ED">
      <w:pPr>
        <w:spacing w:before="240" w:line="276" w:lineRule="auto"/>
        <w:ind w:left="360"/>
        <w:jc w:val="left"/>
      </w:pPr>
      <w:r>
        <w:rPr>
          <w:noProof/>
        </w:rPr>
        <w:drawing>
          <wp:inline distT="114300" distB="114300" distL="114300" distR="114300" wp14:anchorId="6B8DB835" wp14:editId="36E0C2B7">
            <wp:extent cx="5445443" cy="17852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443" cy="1785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E83FD" w14:textId="77777777" w:rsidR="001A7FE8" w:rsidRDefault="00F749ED">
      <w:pPr>
        <w:spacing w:before="240" w:line="276" w:lineRule="auto"/>
        <w:ind w:left="360"/>
        <w:jc w:val="left"/>
      </w:pPr>
      <w:r>
        <w:rPr>
          <w:b/>
          <w:sz w:val="24"/>
        </w:rPr>
        <w:t>2)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1a) </w:t>
      </w:r>
      <w:r>
        <w:t>Determine el signo de cada vector (diferenciándolos por color y nombre) en cada cuadrante del plano cartesiano:</w:t>
      </w:r>
    </w:p>
    <w:p w14:paraId="6FFA573A" w14:textId="77777777" w:rsidR="001A7FE8" w:rsidRDefault="00F749ED">
      <w:pPr>
        <w:spacing w:before="240" w:after="240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t>Puedes observar cómo cambia el ángulo central y la medida de cada vector. Explica:</w:t>
      </w:r>
    </w:p>
    <w:p w14:paraId="71F12F7F" w14:textId="77777777" w:rsidR="001A7FE8" w:rsidRDefault="00F749ED">
      <w:pPr>
        <w:spacing w:before="240" w:line="276" w:lineRule="auto"/>
      </w:pPr>
      <w:r>
        <w:rPr>
          <w:b/>
        </w:rPr>
        <w:lastRenderedPageBreak/>
        <w:t xml:space="preserve">1b). </w:t>
      </w:r>
      <w:r>
        <w:t xml:space="preserve">Cuando arrastras el punto B, ¿Qué cambios se presentan </w:t>
      </w:r>
      <w:r>
        <w:t xml:space="preserve">en el vector </w:t>
      </w:r>
      <w:proofErr w:type="gramStart"/>
      <w:r>
        <w:t>𝐶𝐷</w:t>
      </w:r>
      <w:r>
        <w:t xml:space="preserve">  cada</w:t>
      </w:r>
      <w:proofErr w:type="gramEnd"/>
      <w:r>
        <w:t xml:space="preserve"> vez que cambia la medida</w:t>
      </w:r>
    </w:p>
    <w:p w14:paraId="4CB81CD6" w14:textId="77777777" w:rsidR="001A7FE8" w:rsidRDefault="00F749ED">
      <w:pPr>
        <w:spacing w:before="240" w:line="276" w:lineRule="auto"/>
      </w:pPr>
      <w:r>
        <w:t>del ángulo central?</w:t>
      </w:r>
    </w:p>
    <w:p w14:paraId="4E3727C4" w14:textId="77777777" w:rsidR="001A7FE8" w:rsidRDefault="00F749ED">
      <w:pPr>
        <w:spacing w:before="240" w:line="276" w:lineRule="auto"/>
      </w:pPr>
      <w:r>
        <w:rPr>
          <w:b/>
        </w:rPr>
        <w:t xml:space="preserve">1c). </w:t>
      </w:r>
      <w:r>
        <w:t xml:space="preserve">¿Qué sucede con este vector cuando se sobrepone el punto </w:t>
      </w:r>
      <w:r>
        <w:t>𝐵</w:t>
      </w:r>
      <w:r>
        <w:t xml:space="preserve"> sobre el punto </w:t>
      </w:r>
      <w:r>
        <w:t>𝐸</w:t>
      </w:r>
      <w:r>
        <w:t xml:space="preserve"> y sobre </w:t>
      </w:r>
      <w:r>
        <w:t>𝐸</w:t>
      </w:r>
      <w:r>
        <w:t>’? Explica. ¿Cuántos grados mide el ángulo central en cada una de estas posiciones?</w:t>
      </w:r>
    </w:p>
    <w:p w14:paraId="34FD64DE" w14:textId="77777777" w:rsidR="001A7FE8" w:rsidRDefault="00F749ED">
      <w:pPr>
        <w:spacing w:before="240" w:line="276" w:lineRule="auto"/>
      </w:pPr>
      <w:r>
        <w:rPr>
          <w:b/>
        </w:rPr>
        <w:t xml:space="preserve">2). </w:t>
      </w:r>
      <w:r>
        <w:t>Encuen</w:t>
      </w:r>
      <w:r>
        <w:t>tra la longitud de cada vector y registra los datos en la siguiente tabla, asociando los colores similares. Arrastrando el punto B, regístralos 3 veces:</w:t>
      </w:r>
    </w:p>
    <w:p w14:paraId="78136A3E" w14:textId="77777777" w:rsidR="001A7FE8" w:rsidRDefault="00F749ED">
      <w:pPr>
        <w:spacing w:before="240" w:line="276" w:lineRule="auto"/>
      </w:pPr>
      <w:r>
        <w:rPr>
          <w:noProof/>
        </w:rPr>
        <w:drawing>
          <wp:inline distT="114300" distB="114300" distL="114300" distR="114300" wp14:anchorId="679AAAE3" wp14:editId="339AC073">
            <wp:extent cx="5785485" cy="66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FC54F" w14:textId="77777777" w:rsidR="001A7FE8" w:rsidRDefault="00F749ED">
      <w:pPr>
        <w:spacing w:before="240" w:after="240"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2A13A0B" w14:textId="77777777" w:rsidR="001A7FE8" w:rsidRDefault="00F749ED">
      <w:pPr>
        <w:spacing w:before="240" w:after="240" w:line="259" w:lineRule="auto"/>
        <w:jc w:val="left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4.4    Segundas dos horas sincrónicas</w:t>
      </w:r>
    </w:p>
    <w:p w14:paraId="2E3CA9BD" w14:textId="77777777" w:rsidR="001A7FE8" w:rsidRDefault="00F749ED">
      <w:pPr>
        <w:spacing w:after="160"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Contenidos: Teoría de las representaciones semióticas de Duva</w:t>
      </w:r>
      <w:r>
        <w:rPr>
          <w:rFonts w:ascii="Calibri" w:eastAsia="Calibri" w:hAnsi="Calibri" w:cs="Calibri"/>
          <w:sz w:val="22"/>
          <w:szCs w:val="22"/>
        </w:rPr>
        <w:t>l. Circunferencia trigonométrica. Funciones trigonométricas de un número real. Uso de Geogebra.</w:t>
      </w:r>
    </w:p>
    <w:p w14:paraId="6848874F" w14:textId="77777777" w:rsidR="001A7FE8" w:rsidRDefault="00F749ED">
      <w:pPr>
        <w:numPr>
          <w:ilvl w:val="0"/>
          <w:numId w:val="2"/>
        </w:numPr>
        <w:spacing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realizarán preguntas para indagar sobre la comprensión de registros semióticos y acerca de las operaciones de transformación y conversión. Se aclararán dudas</w:t>
      </w:r>
      <w:r>
        <w:rPr>
          <w:rFonts w:ascii="Calibri" w:eastAsia="Calibri" w:hAnsi="Calibri" w:cs="Calibri"/>
          <w:sz w:val="22"/>
          <w:szCs w:val="22"/>
        </w:rPr>
        <w:t xml:space="preserve"> si fuera necesario.</w:t>
      </w:r>
    </w:p>
    <w:p w14:paraId="417BBEC3" w14:textId="77777777" w:rsidR="001A7FE8" w:rsidRDefault="00F749ED">
      <w:pPr>
        <w:numPr>
          <w:ilvl w:val="0"/>
          <w:numId w:val="2"/>
        </w:numPr>
        <w:spacing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recordarán algunas herramientas básicas para funciones en Geogebra.</w:t>
      </w:r>
    </w:p>
    <w:p w14:paraId="4352093E" w14:textId="77777777" w:rsidR="001A7FE8" w:rsidRDefault="00F749ED">
      <w:pPr>
        <w:numPr>
          <w:ilvl w:val="0"/>
          <w:numId w:val="2"/>
        </w:numPr>
        <w:spacing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resolverán una </w:t>
      </w:r>
      <w:proofErr w:type="gramStart"/>
      <w:r>
        <w:rPr>
          <w:rFonts w:ascii="Calibri" w:eastAsia="Calibri" w:hAnsi="Calibri" w:cs="Calibri"/>
          <w:sz w:val="22"/>
          <w:szCs w:val="22"/>
        </w:rPr>
        <w:t>actividad  grupal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en Geogebra que permitirá caracterizar las funciones seno y coseno, período y amplitud. Para ello se utilizará una actividad pu</w:t>
      </w:r>
      <w:r>
        <w:rPr>
          <w:rFonts w:ascii="Calibri" w:eastAsia="Calibri" w:hAnsi="Calibri" w:cs="Calibri"/>
          <w:sz w:val="22"/>
          <w:szCs w:val="22"/>
        </w:rPr>
        <w:t xml:space="preserve">blicada en </w:t>
      </w:r>
      <w:hyperlink r:id="rId10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https://www.geogebra.org/m/HdnfNmwA</w:t>
        </w:r>
      </w:hyperlink>
      <w:r>
        <w:rPr>
          <w:rFonts w:ascii="Calibri" w:eastAsia="Calibri" w:hAnsi="Calibri" w:cs="Calibri"/>
          <w:sz w:val="22"/>
          <w:szCs w:val="22"/>
        </w:rPr>
        <w:t xml:space="preserve"> y a un grupo se le solicitará estudiar la función</w:t>
      </w:r>
      <w:r>
        <w:rPr>
          <w:rFonts w:ascii="Calibri" w:eastAsia="Calibri" w:hAnsi="Calibri" w:cs="Calibri"/>
          <w:sz w:val="22"/>
          <w:szCs w:val="22"/>
        </w:rPr>
        <w:t xml:space="preserve"> seno, a otro la función coseno y a un tercer grupo la función tangente. Esta actividad contará con una serie de preguntas que posibilitarán la exploración e investigación.</w:t>
      </w:r>
    </w:p>
    <w:p w14:paraId="3D397786" w14:textId="77777777" w:rsidR="001A7FE8" w:rsidRDefault="00F749ED">
      <w:pPr>
        <w:numPr>
          <w:ilvl w:val="0"/>
          <w:numId w:val="2"/>
        </w:numPr>
        <w:spacing w:after="160" w:line="259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realizará una puesta en común haciendo hincapié en los registros y la necesidad </w:t>
      </w:r>
      <w:r>
        <w:rPr>
          <w:rFonts w:ascii="Calibri" w:eastAsia="Calibri" w:hAnsi="Calibri" w:cs="Calibri"/>
          <w:sz w:val="22"/>
          <w:szCs w:val="22"/>
        </w:rPr>
        <w:t xml:space="preserve">de cambio de registro para responder las </w:t>
      </w:r>
      <w:proofErr w:type="gramStart"/>
      <w:r>
        <w:rPr>
          <w:rFonts w:ascii="Calibri" w:eastAsia="Calibri" w:hAnsi="Calibri" w:cs="Calibri"/>
          <w:sz w:val="22"/>
          <w:szCs w:val="22"/>
        </w:rPr>
        <w:t>preguntas .</w:t>
      </w:r>
      <w:proofErr w:type="gramEnd"/>
    </w:p>
    <w:p w14:paraId="60AB2E03" w14:textId="77777777" w:rsidR="001A7FE8" w:rsidRDefault="001A7FE8">
      <w:pPr>
        <w:spacing w:before="60"/>
        <w:rPr>
          <w:sz w:val="24"/>
        </w:rPr>
      </w:pPr>
    </w:p>
    <w:p w14:paraId="22111D3B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4.5    Segundas dos horas Entre Clases</w:t>
      </w:r>
    </w:p>
    <w:p w14:paraId="059B28BE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Contenidos: Funciones trigonométricas. Ecuaciones trigonométricas. Uso de Geogebra</w:t>
      </w:r>
    </w:p>
    <w:p w14:paraId="2C76BF5E" w14:textId="77777777" w:rsidR="001A7FE8" w:rsidRDefault="00F749ED">
      <w:pPr>
        <w:numPr>
          <w:ilvl w:val="0"/>
          <w:numId w:val="4"/>
        </w:numPr>
        <w:spacing w:before="60"/>
        <w:rPr>
          <w:sz w:val="24"/>
        </w:rPr>
      </w:pPr>
      <w:r>
        <w:rPr>
          <w:sz w:val="24"/>
        </w:rPr>
        <w:t xml:space="preserve">Resolución de una actividad sobre funciones trigonométricas usando Geogebra. </w:t>
      </w:r>
      <w:proofErr w:type="gramStart"/>
      <w:r>
        <w:rPr>
          <w:sz w:val="24"/>
        </w:rPr>
        <w:t>( para</w:t>
      </w:r>
      <w:proofErr w:type="gramEnd"/>
      <w:r>
        <w:rPr>
          <w:sz w:val="24"/>
        </w:rPr>
        <w:t xml:space="preserve"> ello se acompaña un pequeño tutorial recordando herramientas básicas para uso de geogebra</w:t>
      </w:r>
      <w:r>
        <w:rPr>
          <w:sz w:val="24"/>
        </w:rPr>
        <w:t xml:space="preserve"> con funciones)</w:t>
      </w:r>
    </w:p>
    <w:p w14:paraId="6298316B" w14:textId="77777777" w:rsidR="001A7FE8" w:rsidRDefault="00F749ED">
      <w:pPr>
        <w:numPr>
          <w:ilvl w:val="0"/>
          <w:numId w:val="4"/>
        </w:numPr>
        <w:rPr>
          <w:sz w:val="24"/>
        </w:rPr>
      </w:pPr>
      <w:r>
        <w:rPr>
          <w:sz w:val="24"/>
        </w:rPr>
        <w:t>Se les mostrará cómo se puede resolver una ecuación trigonométrica utilizando el registro gráfico (circunferencia trigonométrica) y cómo luego verifican usando registro numérico. Se les pedirá que resuelvan cuatro ecuaciones trigonométricas</w:t>
      </w:r>
      <w:r>
        <w:rPr>
          <w:sz w:val="24"/>
        </w:rPr>
        <w:t xml:space="preserve"> utilizando la circunferencia trigonométrica.</w:t>
      </w:r>
    </w:p>
    <w:p w14:paraId="03ACBF86" w14:textId="77777777" w:rsidR="001A7FE8" w:rsidRDefault="001A7FE8">
      <w:pPr>
        <w:rPr>
          <w:sz w:val="24"/>
        </w:rPr>
      </w:pPr>
    </w:p>
    <w:p w14:paraId="153C2F81" w14:textId="77777777" w:rsidR="001A7FE8" w:rsidRDefault="001A7FE8">
      <w:pPr>
        <w:rPr>
          <w:sz w:val="24"/>
        </w:rPr>
      </w:pPr>
    </w:p>
    <w:p w14:paraId="40F727B4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color w:val="E4801E"/>
          <w:sz w:val="24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4.6    Terceras dos horas sincrónicas</w:t>
      </w:r>
    </w:p>
    <w:p w14:paraId="64BAF4F0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 xml:space="preserve">Contenidos: Funciones trigonométricas. Ecuaciones trigonométricas. Uso de </w:t>
      </w:r>
      <w:proofErr w:type="gramStart"/>
      <w:r>
        <w:rPr>
          <w:sz w:val="24"/>
        </w:rPr>
        <w:t>Geogebra .</w:t>
      </w:r>
      <w:proofErr w:type="gramEnd"/>
      <w:r>
        <w:rPr>
          <w:sz w:val="24"/>
        </w:rPr>
        <w:t xml:space="preserve"> </w:t>
      </w:r>
    </w:p>
    <w:p w14:paraId="73537F24" w14:textId="77777777" w:rsidR="001A7FE8" w:rsidRDefault="00F749ED">
      <w:pPr>
        <w:numPr>
          <w:ilvl w:val="0"/>
          <w:numId w:val="1"/>
        </w:numPr>
        <w:spacing w:before="60"/>
        <w:rPr>
          <w:sz w:val="24"/>
        </w:rPr>
      </w:pPr>
      <w:r>
        <w:rPr>
          <w:sz w:val="24"/>
        </w:rPr>
        <w:lastRenderedPageBreak/>
        <w:t>Se recupera la resolución de ecuaciones presentadas en la clase asincrónica.</w:t>
      </w:r>
    </w:p>
    <w:p w14:paraId="65416DC1" w14:textId="77777777" w:rsidR="001A7FE8" w:rsidRDefault="00F749E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 resu</w:t>
      </w:r>
      <w:r>
        <w:rPr>
          <w:sz w:val="24"/>
        </w:rPr>
        <w:t xml:space="preserve">elve en grupo una actividad donde se vincula función trigonométrica con ecuaciones trigonométricas. </w:t>
      </w:r>
    </w:p>
    <w:p w14:paraId="1A1C71B0" w14:textId="77777777" w:rsidR="001A7FE8" w:rsidRDefault="00F749E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 realiza la puesta en común.</w:t>
      </w:r>
    </w:p>
    <w:p w14:paraId="504227FB" w14:textId="77777777" w:rsidR="001A7FE8" w:rsidRDefault="00F749ED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tallerista muestra </w:t>
      </w:r>
      <w:proofErr w:type="gramStart"/>
      <w:r>
        <w:rPr>
          <w:sz w:val="24"/>
        </w:rPr>
        <w:t>cómo  se</w:t>
      </w:r>
      <w:proofErr w:type="gramEnd"/>
      <w:r>
        <w:rPr>
          <w:sz w:val="24"/>
        </w:rPr>
        <w:t xml:space="preserve"> puede vincular registro gráfico en sistemas cartesianos con el registro algebraico y numérico</w:t>
      </w:r>
      <w:r>
        <w:rPr>
          <w:sz w:val="24"/>
        </w:rPr>
        <w:t xml:space="preserve"> al resolver ecuaciones. </w:t>
      </w:r>
    </w:p>
    <w:p w14:paraId="1504A71F" w14:textId="77777777" w:rsidR="001A7FE8" w:rsidRDefault="001A7FE8">
      <w:pPr>
        <w:spacing w:before="60"/>
        <w:ind w:left="720"/>
        <w:rPr>
          <w:sz w:val="24"/>
        </w:rPr>
      </w:pPr>
    </w:p>
    <w:p w14:paraId="6E8C090E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4.7    Evaluación final</w:t>
      </w:r>
    </w:p>
    <w:p w14:paraId="0D445227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Puede realizarse en grupos de hasta dos integrantes.</w:t>
      </w:r>
    </w:p>
    <w:p w14:paraId="11106395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Actividad 1:</w:t>
      </w:r>
    </w:p>
    <w:p w14:paraId="3CC9148F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Se les proporcionará una actividad de trigonometría donde deberán analizar contenidos vinculados, reconocer los registros semióticos que pu</w:t>
      </w:r>
      <w:r>
        <w:rPr>
          <w:sz w:val="24"/>
        </w:rPr>
        <w:t xml:space="preserve">eden utilizar los </w:t>
      </w:r>
      <w:proofErr w:type="gramStart"/>
      <w:r>
        <w:rPr>
          <w:sz w:val="24"/>
        </w:rPr>
        <w:t>estudiantes ,</w:t>
      </w:r>
      <w:proofErr w:type="gramEnd"/>
      <w:r>
        <w:rPr>
          <w:sz w:val="24"/>
        </w:rPr>
        <w:t xml:space="preserve"> proponer la resolución de la actividad identificando transformaciones y conversiones. En la resolución debe hacer uso de Geogebra y presentar las capturas de pantallas.</w:t>
      </w:r>
    </w:p>
    <w:p w14:paraId="09268C17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Actividad 2: El docente deberá proponer una actividad d</w:t>
      </w:r>
      <w:r>
        <w:rPr>
          <w:sz w:val="24"/>
        </w:rPr>
        <w:t xml:space="preserve">e </w:t>
      </w:r>
      <w:proofErr w:type="gramStart"/>
      <w:r>
        <w:rPr>
          <w:sz w:val="24"/>
        </w:rPr>
        <w:t>funciones trigonométricas o ecuaciones trigonométricas</w:t>
      </w:r>
      <w:proofErr w:type="gramEnd"/>
      <w:r>
        <w:rPr>
          <w:sz w:val="24"/>
        </w:rPr>
        <w:t>, donde sea necesario el uso de diferentes registros de representación semiótica.</w:t>
      </w:r>
    </w:p>
    <w:p w14:paraId="26D9158A" w14:textId="77777777" w:rsidR="001A7FE8" w:rsidRDefault="001A7FE8">
      <w:pPr>
        <w:spacing w:before="60"/>
        <w:rPr>
          <w:sz w:val="24"/>
        </w:rPr>
      </w:pPr>
    </w:p>
    <w:p w14:paraId="711C1809" w14:textId="77777777" w:rsidR="001A7FE8" w:rsidRDefault="00F749E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</w:pPr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 xml:space="preserve">5    </w:t>
      </w:r>
      <w:proofErr w:type="gramStart"/>
      <w:r>
        <w:rPr>
          <w:rFonts w:ascii="Latin Modern Roman Caps" w:eastAsia="Latin Modern Roman Caps" w:hAnsi="Latin Modern Roman Caps" w:cs="Latin Modern Roman Caps"/>
          <w:color w:val="000000"/>
          <w:sz w:val="32"/>
          <w:szCs w:val="32"/>
        </w:rPr>
        <w:t>Bibliografía</w:t>
      </w:r>
      <w:proofErr w:type="gramEnd"/>
    </w:p>
    <w:p w14:paraId="5DD3075B" w14:textId="77777777" w:rsidR="001A7FE8" w:rsidRPr="00F749ED" w:rsidRDefault="00F749ED">
      <w:pPr>
        <w:spacing w:before="60"/>
        <w:rPr>
          <w:sz w:val="24"/>
          <w:lang w:val="en-US"/>
        </w:rPr>
      </w:pPr>
      <w:r>
        <w:rPr>
          <w:sz w:val="24"/>
        </w:rPr>
        <w:t xml:space="preserve">Torres, C., Montiel, G., Cuevas, O. (2014). Un entorno geométrico para la resignificación de las razones trigonométricas en estudiantes de ingeniería. </w:t>
      </w:r>
      <w:r w:rsidRPr="00F749ED">
        <w:rPr>
          <w:sz w:val="24"/>
          <w:lang w:val="en-US"/>
        </w:rPr>
        <w:t>Acta Latinoamericana de Matemática</w:t>
      </w:r>
    </w:p>
    <w:p w14:paraId="03CE1218" w14:textId="77777777" w:rsidR="001A7FE8" w:rsidRPr="00F749ED" w:rsidRDefault="00F749ED">
      <w:pPr>
        <w:spacing w:before="60"/>
        <w:rPr>
          <w:sz w:val="24"/>
          <w:lang w:val="en-US"/>
        </w:rPr>
      </w:pPr>
      <w:r w:rsidRPr="00F749ED">
        <w:rPr>
          <w:sz w:val="24"/>
          <w:lang w:val="en-US"/>
        </w:rPr>
        <w:t>Educativa. 890-898</w:t>
      </w:r>
    </w:p>
    <w:p w14:paraId="1398C2A4" w14:textId="77777777" w:rsidR="001A7FE8" w:rsidRPr="00F749ED" w:rsidRDefault="00F749ED">
      <w:pPr>
        <w:spacing w:before="60"/>
        <w:rPr>
          <w:sz w:val="24"/>
          <w:lang w:val="en-US"/>
        </w:rPr>
      </w:pPr>
      <w:r w:rsidRPr="00F749ED">
        <w:rPr>
          <w:sz w:val="24"/>
          <w:lang w:val="en-US"/>
        </w:rPr>
        <w:t>Moore, K. (2014). Quantitative reasoning and the si</w:t>
      </w:r>
      <w:r w:rsidRPr="00F749ED">
        <w:rPr>
          <w:sz w:val="24"/>
          <w:lang w:val="en-US"/>
        </w:rPr>
        <w:t>ne function: The case of Zac. Journal for Research in Mathematics Education, 45(1), 102-138</w:t>
      </w:r>
    </w:p>
    <w:p w14:paraId="666FCF97" w14:textId="77777777" w:rsidR="001A7FE8" w:rsidRDefault="00F749ED">
      <w:pPr>
        <w:spacing w:before="60"/>
        <w:rPr>
          <w:sz w:val="24"/>
        </w:rPr>
      </w:pPr>
      <w:r w:rsidRPr="00F749ED">
        <w:rPr>
          <w:sz w:val="24"/>
          <w:highlight w:val="white"/>
          <w:lang w:val="en-US"/>
        </w:rPr>
        <w:t xml:space="preserve">Duval, R. (1993). Registres de représentations sémiotique et fonctionnement cognitif de la pensée, Annales de Didactique et de Sciences Cognitives, </w:t>
      </w:r>
      <w:r w:rsidRPr="00F749ED">
        <w:rPr>
          <w:i/>
          <w:sz w:val="24"/>
          <w:highlight w:val="white"/>
          <w:lang w:val="en-US"/>
        </w:rPr>
        <w:t>irem de Strasbou</w:t>
      </w:r>
      <w:r w:rsidRPr="00F749ED">
        <w:rPr>
          <w:i/>
          <w:sz w:val="24"/>
          <w:highlight w:val="white"/>
          <w:lang w:val="en-US"/>
        </w:rPr>
        <w:t>rg</w:t>
      </w:r>
      <w:r w:rsidRPr="00F749ED">
        <w:rPr>
          <w:sz w:val="24"/>
          <w:highlight w:val="white"/>
          <w:lang w:val="en-US"/>
        </w:rPr>
        <w:t xml:space="preserve">, Francia, 5, 37-65. </w:t>
      </w:r>
      <w:r>
        <w:rPr>
          <w:sz w:val="24"/>
          <w:highlight w:val="white"/>
        </w:rPr>
        <w:t xml:space="preserve">Recuperado de:  </w:t>
      </w:r>
      <w:hyperlink r:id="rId11">
        <w:r>
          <w:rPr>
            <w:sz w:val="24"/>
            <w:highlight w:val="white"/>
          </w:rPr>
          <w:t>https://mathinfo.unistra.fr/fileadmin/upload/IREM/Publications/Annales_didactique/vol_05/adsc5_1993-003.pdf</w:t>
        </w:r>
      </w:hyperlink>
    </w:p>
    <w:p w14:paraId="6A7BAEAB" w14:textId="77777777" w:rsidR="001A7FE8" w:rsidRDefault="00F749ED">
      <w:pPr>
        <w:spacing w:before="60"/>
        <w:rPr>
          <w:sz w:val="24"/>
        </w:rPr>
      </w:pPr>
      <w:r>
        <w:rPr>
          <w:sz w:val="24"/>
        </w:rPr>
        <w:t>Godino, J. D., Batanero, C. y Font, V. (2003). Fundamentos de la enseñanza y el aprendizaje de las mate</w:t>
      </w:r>
      <w:r>
        <w:rPr>
          <w:sz w:val="24"/>
        </w:rPr>
        <w:t xml:space="preserve">máticas. Departamento de Didáctica de las Matemáticas. Universidad de Granada. ISBN: 84-932510-6-2. [ 155 páginas; 2,6 MB] (Recuperable en, </w:t>
      </w:r>
      <w:hyperlink r:id="rId12">
        <w:r>
          <w:rPr>
            <w:color w:val="1155CC"/>
            <w:sz w:val="24"/>
            <w:u w:val="single"/>
          </w:rPr>
          <w:t>http://www.ugr.es/local/jgodino/</w:t>
        </w:r>
      </w:hyperlink>
      <w:r>
        <w:rPr>
          <w:sz w:val="24"/>
        </w:rPr>
        <w:t>)</w:t>
      </w:r>
    </w:p>
    <w:p w14:paraId="25E8B5A8" w14:textId="77777777" w:rsidR="001A7FE8" w:rsidRDefault="00F749ED">
      <w:pPr>
        <w:spacing w:before="60"/>
        <w:rPr>
          <w:sz w:val="24"/>
        </w:rPr>
      </w:pPr>
      <w:r>
        <w:rPr>
          <w:color w:val="333333"/>
          <w:sz w:val="24"/>
        </w:rPr>
        <w:t>Salazar Méndez, F. (2020). Situaciones didácticas para el aprendizaje de las identidades trigonométricas fundamentales a partir de un enfoque geométrico. Universidad del Valle.</w:t>
      </w:r>
    </w:p>
    <w:sectPr w:rsidR="001A7FE8">
      <w:footerReference w:type="default" r:id="rId13"/>
      <w:pgSz w:w="12280" w:h="15900"/>
      <w:pgMar w:top="1138" w:right="1422" w:bottom="1138" w:left="17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A406" w14:textId="77777777" w:rsidR="00000000" w:rsidRDefault="00F749ED">
      <w:r>
        <w:separator/>
      </w:r>
    </w:p>
  </w:endnote>
  <w:endnote w:type="continuationSeparator" w:id="0">
    <w:p w14:paraId="2CEEE7E9" w14:textId="77777777" w:rsidR="00000000" w:rsidRDefault="00F7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in Modern Roman Cap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8CDD" w14:textId="77777777" w:rsidR="001A7FE8" w:rsidRDefault="00F749ED">
    <w:pPr>
      <w:jc w:val="center"/>
    </w:pPr>
    <w:r>
      <w:rPr>
        <w:szCs w:val="20"/>
      </w:rPr>
      <w:fldChar w:fldCharType="begin"/>
    </w:r>
    <w:r>
      <w:rPr>
        <w:szCs w:val="20"/>
      </w:rPr>
      <w:instrText>PAGE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CA87" w14:textId="77777777" w:rsidR="00000000" w:rsidRDefault="00F749ED">
      <w:r>
        <w:separator/>
      </w:r>
    </w:p>
  </w:footnote>
  <w:footnote w:type="continuationSeparator" w:id="0">
    <w:p w14:paraId="749BB41C" w14:textId="77777777" w:rsidR="00000000" w:rsidRDefault="00F74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DAA"/>
    <w:multiLevelType w:val="multilevel"/>
    <w:tmpl w:val="8938C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01EF4"/>
    <w:multiLevelType w:val="multilevel"/>
    <w:tmpl w:val="3F703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3517C3"/>
    <w:multiLevelType w:val="multilevel"/>
    <w:tmpl w:val="961E7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9F569D"/>
    <w:multiLevelType w:val="multilevel"/>
    <w:tmpl w:val="199A7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7326416">
    <w:abstractNumId w:val="1"/>
  </w:num>
  <w:num w:numId="2" w16cid:durableId="1877935400">
    <w:abstractNumId w:val="0"/>
  </w:num>
  <w:num w:numId="3" w16cid:durableId="1874880209">
    <w:abstractNumId w:val="3"/>
  </w:num>
  <w:num w:numId="4" w16cid:durableId="104930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E8"/>
    <w:rsid w:val="001A7FE8"/>
    <w:rsid w:val="00F7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CCA6"/>
  <w15:docId w15:val="{598AAA26-1BE9-4F3E-B9AD-8A474EE4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rial" w:cs="Courier New"/>
      <w:kern w:val="2"/>
      <w:szCs w:val="24"/>
      <w:lang w:eastAsia="zh-CN" w:bidi="hi-IN"/>
    </w:rPr>
  </w:style>
  <w:style w:type="paragraph" w:styleId="Ttulo1">
    <w:name w:val="heading 1"/>
    <w:basedOn w:val="Normal"/>
    <w:uiPriority w:val="9"/>
    <w:qFormat/>
    <w:pPr>
      <w:keepNext/>
      <w:spacing w:before="240" w:after="120"/>
      <w:jc w:val="left"/>
      <w:outlineLvl w:val="0"/>
    </w:pPr>
    <w:rPr>
      <w:b/>
      <w:sz w:val="40"/>
    </w:rPr>
  </w:style>
  <w:style w:type="paragraph" w:styleId="Ttulo2">
    <w:name w:val="heading 2"/>
    <w:basedOn w:val="Normal"/>
    <w:uiPriority w:val="9"/>
    <w:semiHidden/>
    <w:unhideWhenUsed/>
    <w:qFormat/>
    <w:pPr>
      <w:keepNext/>
      <w:spacing w:before="240" w:after="120"/>
      <w:jc w:val="left"/>
      <w:outlineLvl w:val="1"/>
    </w:pPr>
    <w:rPr>
      <w:b/>
      <w:sz w:val="32"/>
    </w:rPr>
  </w:style>
  <w:style w:type="paragraph" w:styleId="Ttulo3">
    <w:name w:val="heading 3"/>
    <w:basedOn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sz w:val="32"/>
    </w:rPr>
  </w:style>
  <w:style w:type="paragraph" w:styleId="Ttulo4">
    <w:name w:val="heading 4"/>
    <w:basedOn w:val="Normal"/>
    <w:uiPriority w:val="9"/>
    <w:semiHidden/>
    <w:unhideWhenUsed/>
    <w:qFormat/>
    <w:pPr>
      <w:keepNext/>
      <w:spacing w:before="240" w:after="120"/>
      <w:jc w:val="left"/>
      <w:outlineLvl w:val="3"/>
    </w:pPr>
    <w:rPr>
      <w:b/>
      <w:sz w:val="24"/>
    </w:rPr>
  </w:style>
  <w:style w:type="paragraph" w:styleId="Ttulo5">
    <w:name w:val="heading 5"/>
    <w:basedOn w:val="Normal"/>
    <w:uiPriority w:val="9"/>
    <w:semiHidden/>
    <w:unhideWhenUsed/>
    <w:qFormat/>
    <w:pPr>
      <w:keepNext/>
      <w:spacing w:before="240" w:after="120"/>
      <w:jc w:val="left"/>
      <w:outlineLvl w:val="4"/>
    </w:pPr>
    <w:rPr>
      <w:b/>
      <w:sz w:val="24"/>
    </w:rPr>
  </w:style>
  <w:style w:type="paragraph" w:styleId="Ttulo6">
    <w:name w:val="heading 6"/>
    <w:basedOn w:val="Normal"/>
    <w:uiPriority w:val="9"/>
    <w:semiHidden/>
    <w:unhideWhenUsed/>
    <w:qFormat/>
    <w:pPr>
      <w:keepNext/>
      <w:spacing w:before="240" w:after="120"/>
      <w:jc w:val="left"/>
      <w:outlineLvl w:val="5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spacing w:before="240" w:after="240"/>
      <w:jc w:val="center"/>
    </w:pPr>
    <w:rPr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styleId="Descripcin">
    <w:name w:val="caption"/>
    <w:basedOn w:val="Normal"/>
    <w:qFormat/>
    <w:pPr>
      <w:keepLines/>
      <w:spacing w:before="120" w:after="120"/>
      <w:jc w:val="left"/>
    </w:p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t">
    <w:name w:val="Part"/>
    <w:basedOn w:val="Normal"/>
    <w:qFormat/>
    <w:pPr>
      <w:keepNext/>
      <w:spacing w:before="240" w:after="120"/>
      <w:jc w:val="center"/>
    </w:pPr>
    <w:rPr>
      <w:b/>
      <w:sz w:val="40"/>
    </w:rPr>
  </w:style>
  <w:style w:type="paragraph" w:customStyle="1" w:styleId="rightpar">
    <w:name w:val="rightpar"/>
    <w:basedOn w:val="Normal"/>
    <w:qFormat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qFormat/>
    <w:pPr>
      <w:keepLines/>
      <w:spacing w:before="120" w:after="120"/>
      <w:jc w:val="center"/>
    </w:pPr>
  </w:style>
  <w:style w:type="paragraph" w:customStyle="1" w:styleId="equation">
    <w:name w:val="equation"/>
    <w:basedOn w:val="Normal"/>
    <w:qFormat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qFormat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qFormat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qFormat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qFormat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qFormat/>
    <w:pPr>
      <w:keepLines/>
      <w:spacing w:before="120" w:after="120"/>
      <w:jc w:val="left"/>
    </w:pPr>
  </w:style>
  <w:style w:type="paragraph" w:customStyle="1" w:styleId="theorem">
    <w:name w:val="theorem"/>
    <w:basedOn w:val="Normal"/>
    <w:qFormat/>
    <w:pPr>
      <w:keepLines/>
      <w:spacing w:before="120" w:after="120"/>
      <w:jc w:val="left"/>
    </w:pPr>
  </w:style>
  <w:style w:type="paragraph" w:customStyle="1" w:styleId="bitmapCenter">
    <w:name w:val="bitmapCenter"/>
    <w:basedOn w:val="Normal"/>
    <w:qFormat/>
    <w:pPr>
      <w:keepLines/>
      <w:spacing w:before="120" w:after="120"/>
      <w:jc w:val="left"/>
    </w:pPr>
  </w:style>
  <w:style w:type="paragraph" w:customStyle="1" w:styleId="author">
    <w:name w:val="author"/>
    <w:basedOn w:val="Normal"/>
    <w:qFormat/>
    <w:pPr>
      <w:spacing w:after="120"/>
      <w:jc w:val="center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536"/>
        <w:tab w:val="right" w:pos="9072"/>
      </w:tabs>
      <w:jc w:val="left"/>
    </w:pPr>
  </w:style>
  <w:style w:type="paragraph" w:styleId="Encabezado">
    <w:name w:val="header"/>
    <w:basedOn w:val="Normal"/>
    <w:pPr>
      <w:tabs>
        <w:tab w:val="center" w:pos="4536"/>
        <w:tab w:val="right" w:pos="9072"/>
      </w:tabs>
      <w:jc w:val="left"/>
    </w:pPr>
  </w:style>
  <w:style w:type="paragraph" w:customStyle="1" w:styleId="Figura">
    <w:name w:val="Figura"/>
    <w:basedOn w:val="Normal"/>
    <w:qFormat/>
    <w:pPr>
      <w:keepLines/>
      <w:spacing w:before="120"/>
      <w:jc w:val="center"/>
    </w:pPr>
  </w:style>
  <w:style w:type="paragraph" w:customStyle="1" w:styleId="Tabla">
    <w:name w:val="Tabla"/>
    <w:basedOn w:val="Normal"/>
    <w:qFormat/>
    <w:pPr>
      <w:keepLines/>
      <w:spacing w:before="120"/>
      <w:jc w:val="center"/>
    </w:pPr>
  </w:style>
  <w:style w:type="paragraph" w:customStyle="1" w:styleId="Tabular">
    <w:name w:val="Tabular"/>
    <w:basedOn w:val="Normal"/>
    <w:qFormat/>
    <w:pPr>
      <w:keepLines/>
      <w:spacing w:before="120"/>
      <w:jc w:val="center"/>
    </w:pPr>
  </w:style>
  <w:style w:type="paragraph" w:customStyle="1" w:styleId="Tabbing">
    <w:name w:val="Tabbing"/>
    <w:basedOn w:val="Normal"/>
    <w:qFormat/>
    <w:pPr>
      <w:keepLines/>
      <w:spacing w:before="120"/>
      <w:jc w:val="center"/>
    </w:pPr>
  </w:style>
  <w:style w:type="paragraph" w:styleId="Cita">
    <w:name w:val="Quote"/>
    <w:basedOn w:val="Normal"/>
    <w:qFormat/>
    <w:pPr>
      <w:ind w:left="1024" w:right="1024" w:firstLine="340"/>
    </w:pPr>
  </w:style>
  <w:style w:type="paragraph" w:customStyle="1" w:styleId="verbatim">
    <w:name w:val="verbatim"/>
    <w:qFormat/>
    <w:pPr>
      <w:suppressAutoHyphens/>
      <w:jc w:val="left"/>
    </w:pPr>
    <w:rPr>
      <w:rFonts w:ascii="Courier New" w:eastAsia="Arial" w:hAnsi="Courier New" w:cs="Courier New"/>
      <w:kern w:val="2"/>
      <w:szCs w:val="24"/>
      <w:lang w:eastAsia="zh-CN" w:bidi="hi-IN"/>
    </w:rPr>
  </w:style>
  <w:style w:type="paragraph" w:styleId="Listaconvietas3">
    <w:name w:val="List Bullet 3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Normal"/>
    <w:qFormat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qFormat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qFormat/>
    <w:pPr>
      <w:keepNext/>
      <w:spacing w:before="240" w:after="120"/>
      <w:jc w:val="left"/>
    </w:pPr>
    <w:rPr>
      <w:b/>
      <w:sz w:val="32"/>
    </w:rPr>
  </w:style>
  <w:style w:type="paragraph" w:customStyle="1" w:styleId="bibitem">
    <w:name w:val="bibitem"/>
    <w:basedOn w:val="Normal"/>
    <w:qFormat/>
    <w:pPr>
      <w:ind w:left="567" w:hanging="567"/>
      <w:jc w:val="left"/>
    </w:pPr>
  </w:style>
  <w:style w:type="paragraph" w:customStyle="1" w:styleId="endnotes">
    <w:name w:val="endnotes"/>
    <w:basedOn w:val="Normal"/>
    <w:qFormat/>
    <w:pPr>
      <w:tabs>
        <w:tab w:val="left" w:pos="283"/>
      </w:tabs>
      <w:spacing w:after="120"/>
      <w:ind w:left="283" w:hanging="283"/>
      <w:jc w:val="left"/>
    </w:pPr>
  </w:style>
  <w:style w:type="paragraph" w:styleId="Textonotapie">
    <w:name w:val="footnote text"/>
    <w:basedOn w:val="Normal"/>
    <w:pPr>
      <w:ind w:left="397" w:hanging="113"/>
      <w:jc w:val="left"/>
    </w:pPr>
  </w:style>
  <w:style w:type="paragraph" w:styleId="Textonotaalfinal">
    <w:name w:val="endnote text"/>
    <w:basedOn w:val="Normal"/>
    <w:pPr>
      <w:ind w:left="454" w:hanging="170"/>
    </w:pPr>
  </w:style>
  <w:style w:type="paragraph" w:customStyle="1" w:styleId="acronym">
    <w:name w:val="acronym"/>
    <w:basedOn w:val="Normal"/>
    <w:qFormat/>
    <w:pPr>
      <w:keepNext/>
      <w:spacing w:before="60" w:after="60"/>
      <w:jc w:val="left"/>
    </w:pPr>
  </w:style>
  <w:style w:type="paragraph" w:customStyle="1" w:styleId="abstracttitle">
    <w:name w:val="abstract title"/>
    <w:basedOn w:val="Normal"/>
    <w:qFormat/>
    <w:pPr>
      <w:spacing w:after="120"/>
      <w:jc w:val="center"/>
    </w:pPr>
    <w:rPr>
      <w:b/>
    </w:rPr>
  </w:style>
  <w:style w:type="paragraph" w:customStyle="1" w:styleId="abstract">
    <w:name w:val="abstract"/>
    <w:basedOn w:val="Normal"/>
    <w:qFormat/>
    <w:pPr>
      <w:ind w:left="1024" w:right="1024" w:firstLine="340"/>
    </w:pPr>
  </w:style>
  <w:style w:type="paragraph" w:customStyle="1" w:styleId="contentsheading">
    <w:name w:val="contents_heading"/>
    <w:basedOn w:val="Normal"/>
    <w:qFormat/>
    <w:pPr>
      <w:keepNext/>
      <w:spacing w:before="240" w:after="120"/>
      <w:jc w:val="left"/>
    </w:pPr>
    <w:rPr>
      <w:b/>
    </w:rPr>
  </w:style>
  <w:style w:type="paragraph" w:styleId="TDC1">
    <w:name w:val="toc 1"/>
    <w:basedOn w:val="Normal"/>
    <w:pPr>
      <w:keepNext/>
      <w:tabs>
        <w:tab w:val="right" w:leader="dot" w:pos="8222"/>
      </w:tabs>
      <w:spacing w:before="240" w:after="60"/>
      <w:ind w:left="425"/>
      <w:jc w:val="left"/>
    </w:pPr>
    <w:rPr>
      <w:b/>
    </w:rPr>
  </w:style>
  <w:style w:type="paragraph" w:styleId="TDC2">
    <w:name w:val="toc 2"/>
    <w:basedOn w:val="Normal"/>
    <w:pPr>
      <w:keepNext/>
      <w:tabs>
        <w:tab w:val="right" w:leader="dot" w:pos="8222"/>
      </w:tabs>
      <w:spacing w:before="60" w:after="60"/>
      <w:ind w:left="512"/>
      <w:jc w:val="left"/>
    </w:pPr>
  </w:style>
  <w:style w:type="paragraph" w:styleId="TDC3">
    <w:name w:val="toc 3"/>
    <w:basedOn w:val="Normal"/>
    <w:pPr>
      <w:keepNext/>
      <w:tabs>
        <w:tab w:val="right" w:leader="dot" w:pos="8222"/>
      </w:tabs>
      <w:spacing w:before="60" w:after="60"/>
      <w:ind w:left="1024"/>
      <w:jc w:val="left"/>
    </w:pPr>
  </w:style>
  <w:style w:type="paragraph" w:styleId="TDC4">
    <w:name w:val="toc 4"/>
    <w:basedOn w:val="Normal"/>
    <w:pPr>
      <w:keepNext/>
      <w:tabs>
        <w:tab w:val="right" w:leader="dot" w:pos="8222"/>
      </w:tabs>
      <w:spacing w:before="60" w:after="60"/>
      <w:ind w:left="1536"/>
      <w:jc w:val="left"/>
    </w:pPr>
  </w:style>
  <w:style w:type="paragraph" w:styleId="TDC5">
    <w:name w:val="toc 5"/>
    <w:basedOn w:val="Normal"/>
    <w:pPr>
      <w:keepNext/>
      <w:tabs>
        <w:tab w:val="right" w:leader="dot" w:pos="8222"/>
      </w:tabs>
      <w:spacing w:before="60" w:after="60"/>
      <w:ind w:left="2048"/>
      <w:jc w:val="left"/>
    </w:pPr>
  </w:style>
  <w:style w:type="paragraph" w:styleId="TDC6">
    <w:name w:val="toc 6"/>
    <w:basedOn w:val="Normal"/>
    <w:pPr>
      <w:keepNext/>
      <w:tabs>
        <w:tab w:val="right" w:leader="dot" w:pos="8222"/>
      </w:tabs>
      <w:spacing w:before="60" w:after="60"/>
      <w:ind w:left="256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gr.es/local/jgodi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hinfo.unistra.fr/fileadmin/upload/IREM/Publications/Annales_didactique/vol_05/adsc5_1993-00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ogebra.org/m/HdnfNmw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sSwO1E1NjL8/T8RIJmMWpwXDw==">AMUW2mVD4KoSPp+/voFI1PoKUxjYtCuEjVn7gdaRycQNpiDLRiSNynis5P7mezu4GsGkF998/bBjg/A6e6qtF0TYaSmpKnixxCAAk4Amx/+rk3HLeccsIJIIphcSjT7sLCZeA0VE4Bl7PgyBu7G800WEjgOha9D+Ew==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1713</Words>
  <Characters>9427</Characters>
  <Application>Microsoft Office Word</Application>
  <DocSecurity>4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Alvarez</dc:creator>
  <cp:lastModifiedBy>Daniela Alvarez</cp:lastModifiedBy>
  <cp:revision>2</cp:revision>
  <dcterms:created xsi:type="dcterms:W3CDTF">2022-07-04T14:15:00Z</dcterms:created>
  <dcterms:modified xsi:type="dcterms:W3CDTF">2022-07-04T14:15:00Z</dcterms:modified>
</cp:coreProperties>
</file>