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Company: {rightsHolder}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collected structure is marked either as:</w:t>
      </w:r>
    </w:p>
    <w:p>
      <w:pPr>
        <w:pStyle w:val="Normal"/>
        <w:rPr/>
      </w:pPr>
      <w:r>
        <w:rPr/>
        <w:t>“</w:t>
      </w:r>
      <w:r>
        <w:rPr/>
        <w:t>T” Target, “S” Source, or “CM” Category member</w:t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>{#</w:t>
      </w:r>
      <w:bookmarkStart w:id="0" w:name="__DdeLink__2950_1404559338"/>
      <w:r>
        <w:rPr/>
        <w:t>structures</w:t>
      </w:r>
      <w:bookmarkEnd w:id="0"/>
      <w:r>
        <w:rPr/>
        <w:t>}</w:t>
      </w:r>
    </w:p>
    <w:p>
      <w:pPr>
        <w:pStyle w:val="3"/>
        <w:rPr/>
      </w:pPr>
      <w:r>
        <w:rPr/>
        <w:t>Substance(s) related to structire {index}</w:t>
      </w:r>
    </w:p>
    <w:tbl>
      <w:tblPr>
        <w:tblW w:w="9645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24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24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4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  <w:t>{/structures}</w:t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409"/>
        <w:gridCol w:w="2410"/>
        <w:gridCol w:w="2417"/>
        <w:gridCol w:w="2401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</w:rPr>
              <w:t>{name3}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rPr/>
      </w:pPr>
      <w:r>
        <w:rPr/>
        <w:t>Appendix 2 Rationale for gap filling</w:t>
      </w:r>
    </w:p>
    <w:p>
      <w:pPr>
        <w:pStyle w:val="Normal"/>
        <w:rPr/>
      </w:pPr>
      <w:r>
        <w:rPr/>
        <w:t>{#</w:t>
      </w:r>
      <w:r>
        <w:rPr/>
        <w:t>ad</w:t>
      </w:r>
      <w:r>
        <w:rPr/>
        <w:t>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4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</w:tblPr>
      <w:tblGrid>
        <w:gridCol w:w="1825"/>
        <w:gridCol w:w="1460"/>
        <w:gridCol w:w="1425"/>
        <w:gridCol w:w="4934"/>
      </w:tblGrid>
      <w:tr>
        <w:trPr>
          <w:tblHeader w:val="true"/>
        </w:trPr>
        <w:tc>
          <w:tcPr>
            <w:tcW w:w="18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bookmarkStart w:id="1" w:name="__DdeLink__9055_21256517734"/>
            <w:bookmarkEnd w:id="1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>
          <w:b/>
          <w:b/>
          <w:bCs/>
          <w:shadow w:val="false"/>
        </w:rPr>
      </w:pPr>
      <w:r>
        <w:rPr>
          <w:b/>
          <w:bCs/>
          <w:shadow w:val="false"/>
        </w:rPr>
        <w:t>{rationaleTitle}</w:t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</w:t>
      </w:r>
      <w:r>
        <w:rPr/>
        <w:t>a</w:t>
      </w:r>
      <w:r>
        <w:rPr/>
        <w:t>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Anex 3 Rationale for deleting experimental data</w:t>
      </w:r>
    </w:p>
    <w:p>
      <w:pPr>
        <w:pStyle w:val="Normal"/>
        <w:rPr/>
      </w:pPr>
      <w:r>
        <w:rPr/>
        <w:t>{#ddstructures}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4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4" w:type="dxa"/>
          <w:bottom w:w="28" w:type="dxa"/>
          <w:right w:w="28" w:type="dxa"/>
        </w:tblCellMar>
      </w:tblPr>
      <w:tblGrid>
        <w:gridCol w:w="1825"/>
        <w:gridCol w:w="1460"/>
        <w:gridCol w:w="1425"/>
        <w:gridCol w:w="4934"/>
      </w:tblGrid>
      <w:tr>
        <w:trPr>
          <w:tblHeader w:val="true"/>
        </w:trPr>
        <w:tc>
          <w:tcPr>
            <w:tcW w:w="18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bookmarkStart w:id="2" w:name="__DdeLink__9055_2125651773"/>
            <w:bookmarkEnd w:id="2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{/ddstructures}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4">
    <w:name w:val="Заглавие 4"/>
    <w:basedOn w:val="Style11"/>
    <w:pPr/>
    <w:rPr/>
  </w:style>
  <w:style w:type="character" w:styleId="Style10">
    <w:name w:val="Изходен код"/>
    <w:qFormat/>
    <w:rPr>
      <w:rFonts w:ascii="Liberation Mono" w:hAnsi="Liberation Mono" w:eastAsia="Nimbus Mono L" w:cs="Liberation Mono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1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1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5">
    <w:name w:val="Предварително форматиран текст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22453</TotalTime>
  <Application>LibreOffice/5.0.2.2$Linux_X86_64 LibreOffice_project/00m0$Build-2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2015-11-23T15:32:55Z</dcterms:modified>
  <cp:revision>75</cp:revision>
</cp:coreProperties>
</file>