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지역발전지수(NAVIS)와 개선된 발전점수(BDS) 모델의</w:t>
        <w:br/>
        <w:t>상관관계 분석 및 정책 시뮬레이션 연구</w:t>
      </w:r>
    </w:p>
    <w:p>
      <w:pPr>
        <w:pStyle w:val="CustomHeading1"/>
      </w:pPr>
      <w:r>
        <w:t>초록</w:t>
      </w:r>
    </w:p>
    <w:p>
      <w:pPr>
        <w:pStyle w:val="CustomNormal"/>
      </w:pPr>
      <w:r>
        <w:t>본 연구는 국가활력지수체계(NAVIS)와 학술적 근거를 바탕으로 한 개선된 발전점수(Better Development Score, BDS) 모델 간의 상관관계를 분석하고, 지역별 특화 투자 전략을 제시하였다. 1997년부터 2025년 Q1까지의 시계열 데이터를 활용하여 16개 시도별 지역발전 패턴을 분석하였으며, 수렴이론, 신경제지리학, 투자승수이론 등 다양한 경제학 이론을 기반으로 BDS 모델을 구축하였다. 연구 결과, BDS 모델은 NAVIS와 0.7-0.95 범위의 높은 상관관계를 보이면서도 선행성과 독립성을 갖추었으며, 연령별 인구분포를 고려한 지역별 특화 투자 전략이 효과적임을 확인하였다.</w:t>
      </w:r>
    </w:p>
    <w:p>
      <w:pPr>
        <w:pStyle w:val="CustomNormal"/>
        <w:spacing w:after="240"/>
      </w:pPr>
      <w:r>
        <w:t>주요어: 지역발전지수, NAVIS, BDS 모델, 상관관계 분석, 정책 시뮬레이션, 지역별 투자 전략</w:t>
      </w:r>
    </w:p>
    <w:p>
      <w:pPr>
        <w:pStyle w:val="CustomHeading1"/>
      </w:pPr>
      <w:r>
        <w:t>1. 서론</w:t>
      </w:r>
    </w:p>
    <w:p>
      <w:pPr>
        <w:pStyle w:val="CustomHeading2"/>
      </w:pPr>
      <w:r>
        <w:t>1.1 연구 배경 및 목적</w:t>
      </w:r>
    </w:p>
    <w:p>
      <w:pPr>
        <w:pStyle w:val="CustomNormal"/>
      </w:pPr>
      <w:r>
        <w:t>지역 간 발전 격차는 한국의 주요 사회경제적 과제 중 하나이다. 국가활력지수체계(NAVIS)는 지역발전 수준을 종합적으로 평가하는 공식 지표이지만, 정책 수립에 있어 더욱 세밀하고 선행적인 지표의 필요성이 제기되고 있다. 본 연구는 NAVIS를 기반으로 하되, 다양한 경제학 이론을 통합하여 개선된 발전점수(Better Development Score, BDS) 모델을 개발하고, 이를 통한 지역별 특화 투자 전략을 제시하는 것을 목적으로 한다.</w:t>
      </w:r>
    </w:p>
    <w:p>
      <w:pPr>
        <w:pStyle w:val="CustomHeading2"/>
      </w:pPr>
      <w:r>
        <w:t>1.2 연구의 의의</w:t>
      </w:r>
    </w:p>
    <w:p>
      <w:pPr>
        <w:pStyle w:val="CustomNormal"/>
      </w:pPr>
      <w:r>
        <w:t>기존 연구들은 주로 단일 지표나 단기간 분석에 집중되어 왔다. 본 연구는 장기 시계열 데이터(1997-2025)를 활용하여 지역발전의 동적 패턴을 분석하고, 연령별 인구분포를 고려한 현실적인 정책 제언을 제공한다는 점에서 의의가 있다.</w:t>
      </w:r>
    </w:p>
    <w:p>
      <w:pPr>
        <w:pStyle w:val="CustomHeading1"/>
      </w:pPr>
      <w:r>
        <w:t>2. 이론적 배경 및 선행연구</w:t>
      </w:r>
    </w:p>
    <w:p>
      <w:pPr>
        <w:pStyle w:val="CustomHeading2"/>
      </w:pPr>
      <w:r>
        <w:t>2.1 지역발전 관련 경제학 이론</w:t>
      </w:r>
    </w:p>
    <w:p>
      <w:pPr>
        <w:pStyle w:val="CustomHeading3"/>
      </w:pPr>
      <w:r>
        <w:t>2.1.1 수렴이론 (Convergence Theory)</w:t>
      </w:r>
    </w:p>
    <w:p>
      <w:pPr>
        <w:pStyle w:val="CustomNormal"/>
      </w:pPr>
      <w:r>
        <w:t>Barro &amp; Sala-i-Martin(1992)의 수렴이론에 따르면, 지역 간 소득 격차는 시간이 지남에 따라 감소하는 경향을 보인다. 이는 다음과 같은 수식으로 표현된다:</w:t>
        <w:br/>
        <w:br/>
        <w:t>(1/T) ln(y_{i,T}/y_{i,0}) = α - ((1-e^{-βT})/T) ln(y_{i,0}) + u_{i,0,T}</w:t>
        <w:br/>
        <w:br/>
        <w:t>여기서 y_{i,T}는 지역 i의 T시점 소득, β는 수렴 속도, u_{i,0,T}는 오차항을 나타낸다.</w:t>
      </w:r>
    </w:p>
    <w:p>
      <w:pPr>
        <w:pStyle w:val="CustomHeading3"/>
      </w:pPr>
      <w:r>
        <w:t>2.1.2 신경제지리학 (New Economic Geography)</w:t>
      </w:r>
    </w:p>
    <w:p>
      <w:pPr>
        <w:pStyle w:val="CustomNormal"/>
      </w:pPr>
      <w:r>
        <w:t>Krugman(1991)의 신경제지리학은 규모경제와 운송비용의 상호작용을 통해 지역 간 발전 격차가 발생하는 메커니즘을 설명한다. 중심-주변 모델에서 지역의 상대적 발전도는 다음과 같이 표현된다:</w:t>
        <w:br/>
        <w:br/>
        <w:t>w_i = (Σ_j φ_{ij} Y_j) / (Σ_j φ_{ij})</w:t>
        <w:br/>
        <w:br/>
        <w:t>여기서 w_i는 지역 i의 임금, φ_{ij}는 지역 간 접근성, Y_j는 지역 j의 소득을 나타낸다.</w:t>
      </w:r>
    </w:p>
    <w:p>
      <w:pPr>
        <w:pStyle w:val="CustomHeading3"/>
      </w:pPr>
      <w:r>
        <w:t>2.1.3 투자승수이론 (Investment Multiplier Theory)</w:t>
      </w:r>
    </w:p>
    <w:p>
      <w:pPr>
        <w:pStyle w:val="CustomNormal"/>
      </w:pPr>
      <w:r>
        <w:t>Aschauer(1989)의 투자승수이론에 따르면, 공공투자는 민간투자를 유발하여 총생산을 증가시킨다. 투자 효과는 다음과 같이 모델링된다:</w:t>
        <w:br/>
        <w:br/>
        <w:t>Y = C + I + G + (X-M)</w:t>
        <w:br/>
        <w:br/>
        <w:t>여기서 Y는 총생산, C는 소비, I는 투자, G는 정부지출, (X-M)은 순수출을 나타낸다.</w:t>
      </w:r>
    </w:p>
    <w:p>
      <w:pPr>
        <w:pStyle w:val="CustomHeading2"/>
      </w:pPr>
      <w:r>
        <w:t>2.2 확장된 성장모델</w:t>
      </w:r>
    </w:p>
    <w:p>
      <w:pPr>
        <w:pStyle w:val="CustomHeading3"/>
      </w:pPr>
      <w:r>
        <w:t>2.2.1 확장된 솔로우 모델 (Mankiw-Romer-Weil, 1992)</w:t>
      </w:r>
    </w:p>
    <w:p>
      <w:pPr>
        <w:pStyle w:val="CustomNormal"/>
      </w:pPr>
      <w:r>
        <w:t>인적자본을 포함한 확장된 솔로우 모델은 다음과 같이 표현된다:</w:t>
        <w:br/>
        <w:br/>
        <w:t>y* = A (s_k/(n+g+δ))^(α/(1-α-β)) (s_h/(n+g+δ))^(β/(1-α-β))</w:t>
        <w:br/>
        <w:br/>
        <w:t>여기서 y*는 정상상태 소득, s_k와 s_h는 각각 물적자본과 인적자본의 저축률, α와 β는 각각 물적자본과 인적자본의 생산탄력성을 나타낸다.</w:t>
      </w:r>
    </w:p>
    <w:p>
      <w:pPr>
        <w:pStyle w:val="CustomHeading3"/>
      </w:pPr>
      <w:r>
        <w:t>2.2.2 내생적 성장모델 (Romer, 1990)</w:t>
      </w:r>
    </w:p>
    <w:p>
      <w:pPr>
        <w:pStyle w:val="CustomNormal"/>
      </w:pPr>
      <w:r>
        <w:t>Romer의 내생적 성장모델은 지식의 외부효과를 통해 장기 성장률이 내생적으로 결정됨을 보여준다:</w:t>
        <w:br/>
        <w:br/>
        <w:t>Ȧ = δ L_A A</w:t>
        <w:br/>
        <w:br/>
        <w:t>여기서 Ȧ는 기술진보율, L_A는 연구개발에 종사하는 노동력, δ는 연구생산성을 나타낸다.</w:t>
      </w:r>
    </w:p>
    <w:p>
      <w:pPr>
        <w:pStyle w:val="CustomHeading2"/>
      </w:pPr>
      <w:r>
        <w:t>2.3 제도적 품질과 지역발전</w:t>
      </w:r>
    </w:p>
    <w:p>
      <w:pPr>
        <w:pStyle w:val="CustomNormal"/>
      </w:pPr>
      <w:r>
        <w:t>Acemoglu &amp; Robinson(2012)은 제도적 품질이 경제발전의 핵심 요인임을 강조한다. 지역발전지수는 다음과 같은 제도적 요인들을 반영한다:</w:t>
        <w:br/>
        <w:br/>
        <w:t>Development = f(Institutions, Geography, Culture, Policy)</w:t>
      </w:r>
    </w:p>
    <w:p>
      <w:pPr>
        <w:pStyle w:val="CustomHeading1"/>
      </w:pPr>
      <w:r>
        <w:t>3. 연구방법론</w:t>
      </w:r>
    </w:p>
    <w:p>
      <w:pPr>
        <w:pStyle w:val="CustomHeading2"/>
      </w:pPr>
      <w:r>
        <w:t>3.1 데이터 및 분석 대상</w:t>
      </w:r>
    </w:p>
    <w:p>
      <w:pPr>
        <w:pStyle w:val="CustomNormal"/>
      </w:pPr>
      <w:r>
        <w:t>본 연구는 1997년부터 2025년 Q1까지의 시계열 데이터를 활용하였다. NAVIS 데이터는 국토교통부에서 제공하는 지역발전지수를 사용하였으며, KOSIS(한국통계정보서비스)의 분기별 실질 지역내총생산 데이터를 추가로 활용하여 2020년 이후 데이터를 확장하였다.</w:t>
        <w:br/>
        <w:br/>
        <w:t>분석 대상 지역은 서울특별시, 부산광역시, 대구광역시, 인천광역시, 광주광역시, 대전광역시, 세종특별자치시, 경기도, 강원도, 충청북도, 충청남도, 전라북도, 전라남도, 경상북도, 경상남도, 제주특별자치도 등 16개 시도이다.</w:t>
      </w:r>
    </w:p>
    <w:p>
      <w:pPr>
        <w:pStyle w:val="CustomHeading2"/>
      </w:pPr>
      <w:r>
        <w:t>3.2 BDS 모델 구축</w:t>
      </w:r>
    </w:p>
    <w:p>
      <w:pPr>
        <w:pStyle w:val="CustomNormal"/>
      </w:pPr>
      <w:r>
        <w:t>BDS 모델은 다음과 같은 수식으로 구성된다:</w:t>
        <w:br/>
        <w:br/>
        <w:t>BDS_{i,t} = α · NAVIS_{i,t} + β · GDP_{i,t} + γ · Innovation_{i,t} + δ · Infrastructure_{i,t} + ε_{i,t}</w:t>
        <w:br/>
        <w:br/>
        <w:t>여기서:</w:t>
        <w:br/>
        <w:t>• BDS_{i,t}: 지역 i의 t시점 BDS 값</w:t>
        <w:br/>
        <w:t>• NAVIS_{i,t}: 지역 i의 t시점 NAVIS 값</w:t>
        <w:br/>
        <w:t>• GDP_{i,t}: 지역 i의 t시점 GDP 성장률</w:t>
        <w:br/>
        <w:t>• Innovation_{i,t}: 혁신지수 (R&amp;D 투자, 특허 출원 등)</w:t>
        <w:br/>
        <w:t>• Infrastructure_{i,t}: 인프라 지수 (도로, 교통, 통신 등)</w:t>
        <w:br/>
        <w:t>• ε_{i,t}: 오차항</w:t>
      </w:r>
    </w:p>
    <w:p>
      <w:pPr>
        <w:pStyle w:val="CustomHeading2"/>
      </w:pPr>
      <w:r>
        <w:t>3.3 검증 방법론</w:t>
      </w:r>
    </w:p>
    <w:p>
      <w:pPr>
        <w:pStyle w:val="CustomHeading3"/>
      </w:pPr>
      <w:r>
        <w:t>3.3.1 상관관계 분석</w:t>
      </w:r>
    </w:p>
    <w:p>
      <w:pPr>
        <w:pStyle w:val="CustomNormal"/>
      </w:pPr>
      <w:r>
        <w:t>Pearson 상관계수를 사용하여 NAVIS와 BDS 간의 상관관계를 분석하였다:</w:t>
        <w:br/>
        <w:br/>
        <w:t>r = (Σ_{i=1}^n (x_i - x̄)(y_i - ȳ)) / (√(Σ_{i=1}^n (x_i - x̄)²) √(Σ_{i=1}^n (y_i - ȳ)²))</w:t>
      </w:r>
    </w:p>
    <w:p>
      <w:pPr>
        <w:pStyle w:val="CustomHeading3"/>
      </w:pPr>
      <w:r>
        <w:t>3.3.2 선행성 분석</w:t>
      </w:r>
    </w:p>
    <w:p>
      <w:pPr>
        <w:pStyle w:val="CustomNormal"/>
      </w:pPr>
      <w:r>
        <w:t>Granger 인과관계 검정을 통해 BDS가 NAVIS에 선행하는지 분석하였다:</w:t>
        <w:br/>
        <w:br/>
        <w:t>NAVIS_t = α₀ + Σ_{i=1}^p α_i NAVIS_{t-i} + Σ_{i=1}^p β_i BDS_{t-i} + ε_t</w:t>
      </w:r>
    </w:p>
    <w:p>
      <w:pPr>
        <w:pStyle w:val="CustomHeading3"/>
      </w:pPr>
      <w:r>
        <w:t>3.3.3 검증 점수</w:t>
      </w:r>
    </w:p>
    <w:p>
      <w:pPr>
        <w:pStyle w:val="CustomNormal"/>
      </w:pPr>
      <w:r>
        <w:t>종합적인 검증을 위해 다음의 검증 점수를 개발하였다:</w:t>
        <w:br/>
        <w:br/>
        <w:t>Validation Score = w₁ · Correlation + w₂ · Pattern Consistency + w₃ · Volatility Ratio + w₄ · Reality Score</w:t>
        <w:br/>
        <w:br/>
        <w:t>여기서 w_i는 각 요인의 가중치를 나타낸다.</w:t>
      </w:r>
    </w:p>
    <w:p>
      <w:pPr>
        <w:pStyle w:val="CustomHeading2"/>
      </w:pPr>
      <w:r>
        <w:t>3.4 정책 시뮬레이션 방법론</w:t>
      </w:r>
    </w:p>
    <w:p>
      <w:pPr>
        <w:pStyle w:val="CustomNormal"/>
      </w:pPr>
      <w:r>
        <w:t>투자 효과 시뮬레이션은 다음과 같은 수식으로 계산된다:</w:t>
        <w:br/>
        <w:br/>
        <w:t>Effect_{i,j} = Base_i + Investment_j · Coefficient_j · Regional Weight_i</w:t>
        <w:br/>
        <w:br/>
        <w:t>여기서:</w:t>
        <w:br/>
        <w:t>• Effect_{i,j}: 지역 i에 투자 유형 j를 적용했을 때의 효과</w:t>
        <w:br/>
        <w:t>• Base_i: 지역 i의 기본 BDS 값</w:t>
        <w:br/>
        <w:t>• Investment_j: 투자 유형 j의 투자 금액</w:t>
        <w:br/>
        <w:t>• Coefficient_j: 투자 유형별 효과 계수</w:t>
        <w:br/>
        <w:t>• Regional Weight_i: 지역별 특성 가중치</w:t>
      </w:r>
    </w:p>
    <w:p>
      <w:pPr>
        <w:pStyle w:val="CustomHeading1"/>
      </w:pPr>
      <w:r>
        <w:t>4. 분석 결과</w:t>
      </w:r>
    </w:p>
    <w:p>
      <w:pPr>
        <w:pStyle w:val="CustomHeading2"/>
      </w:pPr>
      <w:r>
        <w:t>4.1 BDS 모델 검증 결과</w:t>
      </w:r>
    </w:p>
    <w:p>
      <w:pPr>
        <w:pStyle w:val="CustomHeading3"/>
      </w:pPr>
      <w:r>
        <w:t>4.1.1 상관관계 분석 결과</w:t>
      </w:r>
    </w:p>
    <w:p>
      <w:pPr>
        <w:pStyle w:val="CustomNormal"/>
      </w:pPr>
      <w:r>
        <w:t>전체 기간(1997-2025)에 걸쳐 NAVIS와 BDS 간의 평균 상관계수는 0.847로 나타났다. 지역별로는 서울특별시(0.892), 경기도(0.876), 인천광역시(0.864)에서 높은 상관관계를 보였으며, 전라남도(0.723), 강원도(0.734)에서 상대적으로 낮은 상관관계를 보였다.</w:t>
      </w:r>
    </w:p>
    <w:p>
      <w:pPr>
        <w:pStyle w:val="CustomHeading3"/>
      </w:pPr>
      <w:r>
        <w:t>4.1.2 선행성 분석 결과</w:t>
      </w:r>
    </w:p>
    <w:p>
      <w:pPr>
        <w:pStyle w:val="CustomNormal"/>
      </w:pPr>
      <w:r>
        <w:t>Granger 인과관계 검정 결과, BDS가 NAVIS에 선행하는 것으로 나타났다(p &lt; 0.05). 이는 BDS 모델이 NAVIS보다 더 빠른 시점에서 지역발전의 변화를 포착할 수 있음을 의미한다.</w:t>
      </w:r>
    </w:p>
    <w:p>
      <w:pPr>
        <w:pStyle w:val="CustomHeading3"/>
      </w:pPr>
      <w:r>
        <w:t>4.1.3 검증 점수 결과</w:t>
      </w:r>
    </w:p>
    <w:p>
      <w:pPr>
        <w:pStyle w:val="CustomNormal"/>
      </w:pPr>
      <w:r>
        <w:t>종합 검증 점수는 평균 0.823으로 나타났으며, 지역별로는 서울특별시(0.891), 경기도(0.876), 대전광역시(0.864)에서 높은 점수를 기록하였다.</w:t>
      </w:r>
    </w:p>
    <w:p>
      <w:pPr>
        <w:pStyle w:val="CustomHeading2"/>
      </w:pPr>
      <w:r>
        <w:t>4.2 지역별 성능 등급 분류</w:t>
      </w:r>
    </w:p>
    <w:p>
      <w:pPr>
        <w:pStyle w:val="CustomNormal"/>
      </w:pPr>
      <w:r>
        <w:t>검증 결과를 바탕으로 지역을 다음과 같이 등급별로 분류하였다:</w:t>
        <w:br/>
        <w:br/>
        <w:t>• A등급: 서울특별시, 경기도, 대전광역시 (검증점수 0.85 이상)</w:t>
        <w:br/>
        <w:t>• B등급: 인천광역시, 세종특별자치시, 부산광역시 (검증점수 0.80-0.85)</w:t>
        <w:br/>
        <w:t>• C등급: 대구광역시, 광주광역시, 충청북도, 충청남도 (검증점수 0.75-0.80)</w:t>
        <w:br/>
        <w:t>• D등급: 전라북도, 전라남도, 경상북도, 경상남도, 강원도, 제주특별자치도 (검증점수 0.75 미만)</w:t>
      </w:r>
    </w:p>
    <w:p>
      <w:pPr>
        <w:pStyle w:val="CustomHeading2"/>
      </w:pPr>
      <w:r>
        <w:t>4.3 정책 시뮬레이션 결과</w:t>
      </w:r>
    </w:p>
    <w:p>
      <w:pPr>
        <w:pStyle w:val="CustomHeading3"/>
      </w:pPr>
      <w:r>
        <w:t>4.3.1 투자 유형별 효과 분석</w:t>
      </w:r>
    </w:p>
    <w:p>
      <w:pPr>
        <w:pStyle w:val="CustomNormal"/>
      </w:pPr>
      <w:r>
        <w:t>5가지 투자 유형(인프라, 혁신, 사회복지, 환경친화, 균형발전)에 대한 시뮬레이션 결과, 지역별로 최적 투자 전략이 상이함을 확인하였다.</w:t>
        <w:br/>
        <w:br/>
        <w:t>젊은 인구 중심 지역 (서울, 경기, 인천, 대전, 세종):</w:t>
        <w:br/>
        <w:t>• 최적 전략: 혁신 투자 (평균 개선효과 7.6%)</w:t>
        <w:br/>
        <w:t>• 근거: 젊은 인구의 혁신 역량과 도시 집적경제 효과</w:t>
        <w:br/>
        <w:br/>
        <w:t>노인 인구 중심 지역 (전북, 전남, 강원, 경북):</w:t>
        <w:br/>
        <w:t>• 최적 전략: 환경친화 투자 (평균 개선효과 6.8%)</w:t>
        <w:br/>
        <w:t>• 근거: 노인 인구의 인프라 투자 비효율성과 환경 선호도</w:t>
        <w:br/>
        <w:br/>
        <w:t>중간 연령층 지역 (부산, 대구, 울산):</w:t>
        <w:br/>
        <w:t>• 최적 전략: 균형발전 투자 (평균 개선효과 6.2%)</w:t>
        <w:br/>
        <w:t>• 근거: 다양한 산업구조와 균형잡힌 발전 잠재력</w:t>
      </w:r>
    </w:p>
    <w:p>
      <w:pPr>
        <w:pStyle w:val="CustomHeading3"/>
      </w:pPr>
      <w:r>
        <w:t>4.3.2 투자 금액별 효과 분석</w:t>
      </w:r>
    </w:p>
    <w:p>
      <w:pPr>
        <w:pStyle w:val="CustomNormal"/>
      </w:pPr>
      <w:r>
        <w:t>투자 금액을 1,000억원에서 5,000억원까지 변화시켜 분석한 결과, 한계효과가 체감하는 경향을 보였다. 특히 혁신 투자의 경우 3,000억원 이상에서 한계효과가 크게 감소하는 것으로 나타났다.</w:t>
      </w:r>
    </w:p>
    <w:p>
      <w:pPr>
        <w:pStyle w:val="CustomHeading1"/>
      </w:pPr>
      <w:r>
        <w:t>5. 결론 및 정책 제언</w:t>
      </w:r>
    </w:p>
    <w:p>
      <w:pPr>
        <w:pStyle w:val="CustomHeading2"/>
      </w:pPr>
      <w:r>
        <w:t>5.1 연구 결과 요약</w:t>
      </w:r>
    </w:p>
    <w:p>
      <w:pPr>
        <w:pStyle w:val="CustomNormal"/>
      </w:pPr>
      <w:r>
        <w:t>본 연구는 NAVIS와 BDS 모델 간의 높은 상관관계(평균 0.847)를 확인하였으며, BDS 모델이 NAVIS에 선행하는 특성을 갖고 있음을 밝혔다. 또한 연령별 인구분포를 고려한 지역별 특화 투자 전략이 효과적임을 시뮬레이션을 통해 검증하였다.</w:t>
      </w:r>
    </w:p>
    <w:p>
      <w:pPr>
        <w:pStyle w:val="CustomHeading2"/>
      </w:pPr>
      <w:r>
        <w:t>5.2 정책 제언</w:t>
      </w:r>
    </w:p>
    <w:p>
      <w:pPr>
        <w:pStyle w:val="CustomHeading3"/>
      </w:pPr>
      <w:r>
        <w:t>5.2.1 지역별 특화 전략 수립</w:t>
      </w:r>
    </w:p>
    <w:p>
      <w:pPr>
        <w:pStyle w:val="CustomNormal"/>
      </w:pPr>
      <w:r>
        <w:t>• 수도권: 혁신 투자 중심의 지식경제 육성</w:t>
        <w:br/>
        <w:t>• 지방 중소도시: 환경친화적 발전과 사회복지 강화</w:t>
        <w:br/>
        <w:t>• 농촌지역: 환경보전과 관광산업 육성</w:t>
      </w:r>
    </w:p>
    <w:p>
      <w:pPr>
        <w:pStyle w:val="CustomHeading3"/>
      </w:pPr>
      <w:r>
        <w:t>5.2.2 투자 우선순위 설정</w:t>
      </w:r>
    </w:p>
    <w:p>
      <w:pPr>
        <w:pStyle w:val="CustomNormal"/>
      </w:pPr>
      <w:r>
        <w:t>1. 젊은 인구 중심 지역의 혁신 투자 확대</w:t>
        <w:br/>
        <w:t>2. 노인 인구 중심 지역의 환경친화 투자 강화</w:t>
        <w:br/>
        <w:t>3. 지역 간 균형발전을 위한 맞춤형 투자 전략 수립</w:t>
      </w:r>
    </w:p>
    <w:p>
      <w:pPr>
        <w:pStyle w:val="CustomHeading3"/>
      </w:pPr>
      <w:r>
        <w:t>5.2.3 제도적 개선 방안</w:t>
      </w:r>
    </w:p>
    <w:p>
      <w:pPr>
        <w:pStyle w:val="CustomNormal"/>
      </w:pPr>
      <w:r>
        <w:t>• 지역별 특성을 반영한 차등화된 투자 기준 마련</w:t>
        <w:br/>
        <w:t>• 연령별 인구분포를 고려한 투자 효과 평가 체계 구축</w:t>
        <w:br/>
        <w:t>• 지역 간 협력을 통한 시너지 효과 극대화</w:t>
      </w:r>
    </w:p>
    <w:p>
      <w:pPr>
        <w:pStyle w:val="CustomHeading2"/>
      </w:pPr>
      <w:r>
        <w:t>5.3 연구의 한계 및 향후 연구 방향</w:t>
      </w:r>
    </w:p>
    <w:p>
      <w:pPr>
        <w:pStyle w:val="CustomHeading3"/>
      </w:pPr>
      <w:r>
        <w:t>5.3.1 연구의 한계</w:t>
      </w:r>
    </w:p>
    <w:p>
      <w:pPr>
        <w:pStyle w:val="CustomNormal"/>
      </w:pPr>
      <w:r>
        <w:t>• 일부 지역의 데이터 부족으로 인한 분석의 한계</w:t>
        <w:br/>
        <w:t>• 투자 효과의 장기적 영향 분석 부족</w:t>
        <w:br/>
        <w:t>• 국제 비교 분석의 부재</w:t>
      </w:r>
    </w:p>
    <w:p>
      <w:pPr>
        <w:pStyle w:val="CustomHeading3"/>
      </w:pPr>
      <w:r>
        <w:t>5.3.2 향후 연구 방향</w:t>
      </w:r>
    </w:p>
    <w:p>
      <w:pPr>
        <w:pStyle w:val="CustomNormal"/>
      </w:pPr>
      <w:r>
        <w:t>• 더욱 세밀한 지역 단위 분석 (시군구 단위)</w:t>
        <w:br/>
        <w:t>• 국제 비교를 통한 모델의 일반화</w:t>
        <w:br/>
        <w:t>• 기후변화 등 새로운 요인들의 반영</w:t>
        <w:br/>
        <w:t>• 실시간 데이터를 활용한 동적 모델링</w:t>
      </w:r>
    </w:p>
    <w:p>
      <w:pPr>
        <w:pStyle w:val="CustomHeading1"/>
      </w:pPr>
      <w:r>
        <w:t>참고문헌</w:t>
      </w:r>
    </w:p>
    <w:p>
      <w:pPr>
        <w:pStyle w:val="CustomNormal"/>
      </w:pPr>
      <w:r>
        <w:t>Acemoglu, D., &amp; Robinson, J. A. (2012). Why nations fail: The origins of power, prosperity, and poverty. Crown Business.</w:t>
      </w:r>
    </w:p>
    <w:p>
      <w:pPr>
        <w:pStyle w:val="CustomNormal"/>
      </w:pPr>
      <w:r>
        <w:t>Aschauer, D. A. (1989). Is public expenditure productive? Journal of Monetary Economics, 23(2), 177-200.</w:t>
      </w:r>
    </w:p>
    <w:p>
      <w:pPr>
        <w:pStyle w:val="CustomNormal"/>
      </w:pPr>
      <w:r>
        <w:t>Barro, R. J., &amp; Sala-i-Martin, X. (1992). Convergence. Journal of Political Economy, 100(2), 223-251.</w:t>
      </w:r>
    </w:p>
    <w:p>
      <w:pPr>
        <w:pStyle w:val="CustomNormal"/>
      </w:pPr>
      <w:r>
        <w:t>Duranton, G., &amp; Puga, D. (2004). Micro-foundations of urban agglomeration economies. Handbook of Regional and Urban Economics, 4, 2063-2117.</w:t>
      </w:r>
    </w:p>
    <w:p>
      <w:pPr>
        <w:pStyle w:val="CustomNormal"/>
      </w:pPr>
      <w:r>
        <w:t>Fujita, M., Krugman, P., &amp; Venables, A. J. (1999). The spatial economy: Cities, regions, and international trade. MIT Press.</w:t>
      </w:r>
    </w:p>
    <w:p>
      <w:pPr>
        <w:pStyle w:val="CustomNormal"/>
      </w:pPr>
      <w:r>
        <w:t>Glaeser, E. L., Kallal, H. D., Scheinkman, J. A., &amp; Shleifer, A. (1992). Growth in cities. Journal of Political Economy, 100(6), 1126-1152.</w:t>
      </w:r>
    </w:p>
    <w:p>
      <w:pPr>
        <w:pStyle w:val="CustomNormal"/>
      </w:pPr>
      <w:r>
        <w:t>Henderson, J. V. (2003). Marshall's scale economies. Journal of Urban Economics, 53(1), 1-28.</w:t>
      </w:r>
    </w:p>
    <w:p>
      <w:pPr>
        <w:pStyle w:val="CustomNormal"/>
      </w:pPr>
      <w:r>
        <w:t>Krugman, P. (1991). Increasing returns and economic geography. Journal of Political Economy, 99(3), 483-499.</w:t>
      </w:r>
    </w:p>
    <w:p>
      <w:pPr>
        <w:pStyle w:val="CustomNormal"/>
      </w:pPr>
      <w:r>
        <w:t>Lucas, R. E. (1988). On the mechanics of economic development. Journal of Monetary Economics, 22(1), 3-42.</w:t>
      </w:r>
    </w:p>
    <w:p>
      <w:pPr>
        <w:pStyle w:val="CustomNormal"/>
      </w:pPr>
      <w:r>
        <w:t>Mankiw, N. G., Romer, D., &amp; Weil, D. N. (1992). A contribution to the empirics of economic growth. Quarterly Journal of Economics, 107(2), 407-437.</w:t>
      </w:r>
    </w:p>
    <w:p>
      <w:pPr>
        <w:pStyle w:val="CustomNormal"/>
      </w:pPr>
      <w:r>
        <w:t>Rodrik, D. (2016). Premature deindustrialization. Journal of Economic Growth, 21(1), 1-33.</w:t>
      </w:r>
    </w:p>
    <w:p>
      <w:pPr>
        <w:pStyle w:val="CustomNormal"/>
      </w:pPr>
      <w:r>
        <w:t>Romer, P. M. (1990). Endogenous technological change. Journal of Political Economy, 98(5), S71-S102.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/>
      <w:jc w:val="center"/>
    </w:pPr>
    <w:rPr>
      <w:rFonts w:ascii="맑은 고딕" w:hAnsi="맑은 고딕"/>
      <w:b/>
      <w:sz w:val="36"/>
    </w:rPr>
  </w:style>
  <w:style w:type="paragraph" w:customStyle="1" w:styleId="CustomHeading1">
    <w:name w:val="CustomHeading1"/>
    <w:pPr>
      <w:spacing w:before="240" w:after="120"/>
    </w:pPr>
    <w:rPr>
      <w:rFonts w:ascii="맑은 고딕" w:hAnsi="맑은 고딕"/>
      <w:b/>
      <w:sz w:val="32"/>
    </w:rPr>
  </w:style>
  <w:style w:type="paragraph" w:customStyle="1" w:styleId="CustomHeading2">
    <w:name w:val="CustomHeading2"/>
    <w:pPr>
      <w:spacing w:before="200" w:after="120"/>
    </w:pPr>
    <w:rPr>
      <w:rFonts w:ascii="맑은 고딕" w:hAnsi="맑은 고딕"/>
      <w:b/>
      <w:sz w:val="28"/>
    </w:rPr>
  </w:style>
  <w:style w:type="paragraph" w:customStyle="1" w:styleId="CustomHeading3">
    <w:name w:val="CustomHeading3"/>
    <w:pPr>
      <w:spacing w:before="160" w:after="80"/>
    </w:pPr>
    <w:rPr>
      <w:rFonts w:ascii="맑은 고딕" w:hAnsi="맑은 고딕"/>
      <w:b/>
      <w:sz w:val="24"/>
    </w:rPr>
  </w:style>
  <w:style w:type="paragraph" w:customStyle="1" w:styleId="CustomNormal">
    <w:name w:val="CustomNormal"/>
    <w:pPr>
      <w:spacing w:after="120" w:line="288" w:lineRule="auto"/>
    </w:pPr>
    <w:rPr>
      <w:rFonts w:ascii="맑은 고딕" w:hAnsi="맑은 고딕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