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0" w:right="0" w:firstLine="0"/>
        <w:textAlignment w:val="center"/>
        <w:rPr>
          <w:rFonts w:ascii="Arial" w:hAnsi="Arial" w:cs="Arial"/>
          <w:b/>
          <w:i w:val="0"/>
          <w:caps w:val="0"/>
          <w:color w:val="333333"/>
          <w:spacing w:val="0"/>
          <w:sz w:val="33"/>
          <w:szCs w:val="33"/>
        </w:rPr>
      </w:pPr>
      <w:r>
        <w:rPr>
          <w:rFonts w:hint="default" w:ascii="Arial" w:hAnsi="Arial" w:cs="Arial"/>
          <w:b/>
          <w:i w:val="0"/>
          <w:caps w:val="0"/>
          <w:color w:val="333333"/>
          <w:spacing w:val="0"/>
          <w:sz w:val="33"/>
          <w:szCs w:val="33"/>
          <w:bdr w:val="none" w:color="auto" w:sz="0" w:space="0"/>
        </w:rPr>
        <w:t>在月流水6000W的项目怎么做活动（11）</w:t>
      </w:r>
    </w:p>
    <w:p>
      <w:pPr>
        <w:rPr>
          <w:rFonts w:hint="eastAsia"/>
          <w:lang w:eastAsia="zh-CN"/>
        </w:rPr>
      </w:pPr>
      <w:r>
        <w:rPr>
          <w:rFonts w:hint="eastAsia"/>
          <w:lang w:eastAsia="zh-CN"/>
        </w:rPr>
        <w:t>作者：</w:t>
      </w:r>
      <w:r>
        <w:rPr>
          <w:rFonts w:ascii="Arial" w:hAnsi="Arial" w:eastAsia="宋体" w:cs="Arial"/>
          <w:b w:val="0"/>
          <w:i w:val="0"/>
          <w:caps w:val="0"/>
          <w:color w:val="333333"/>
          <w:spacing w:val="0"/>
          <w:sz w:val="21"/>
          <w:szCs w:val="21"/>
          <w:u w:val="none"/>
        </w:rPr>
        <w:fldChar w:fldCharType="begin"/>
      </w:r>
      <w:r>
        <w:rPr>
          <w:rFonts w:ascii="Arial" w:hAnsi="Arial" w:eastAsia="宋体" w:cs="Arial"/>
          <w:b w:val="0"/>
          <w:i w:val="0"/>
          <w:caps w:val="0"/>
          <w:color w:val="333333"/>
          <w:spacing w:val="0"/>
          <w:sz w:val="21"/>
          <w:szCs w:val="21"/>
          <w:u w:val="none"/>
        </w:rPr>
        <w:instrText xml:space="preserve"> HYPERLINK "http://gad.qq.com/user/index?id=46536" </w:instrText>
      </w:r>
      <w:r>
        <w:rPr>
          <w:rFonts w:ascii="Arial" w:hAnsi="Arial" w:eastAsia="宋体" w:cs="Arial"/>
          <w:b w:val="0"/>
          <w:i w:val="0"/>
          <w:caps w:val="0"/>
          <w:color w:val="333333"/>
          <w:spacing w:val="0"/>
          <w:sz w:val="21"/>
          <w:szCs w:val="21"/>
          <w:u w:val="none"/>
        </w:rPr>
        <w:fldChar w:fldCharType="separate"/>
      </w:r>
      <w:r>
        <w:rPr>
          <w:rStyle w:val="5"/>
          <w:rFonts w:hint="default" w:ascii="Arial" w:hAnsi="Arial" w:eastAsia="宋体" w:cs="Arial"/>
          <w:b w:val="0"/>
          <w:i w:val="0"/>
          <w:caps w:val="0"/>
          <w:color w:val="333333"/>
          <w:spacing w:val="0"/>
          <w:sz w:val="21"/>
          <w:szCs w:val="21"/>
          <w:u w:val="none"/>
        </w:rPr>
        <w:t>蜂鸣</w:t>
      </w:r>
      <w:r>
        <w:rPr>
          <w:rFonts w:hint="default" w:ascii="Arial" w:hAnsi="Arial" w:eastAsia="宋体" w:cs="Arial"/>
          <w:b w:val="0"/>
          <w:i w:val="0"/>
          <w:caps w:val="0"/>
          <w:color w:val="333333"/>
          <w:spacing w:val="0"/>
          <w:sz w:val="21"/>
          <w:szCs w:val="21"/>
          <w:u w:val="none"/>
        </w:rPr>
        <w:fldChar w:fldCharType="end"/>
      </w:r>
    </w:p>
    <w:p>
      <w:pPr>
        <w:rPr>
          <w:rFonts w:hint="eastAsia"/>
          <w:lang w:eastAsia="zh-CN"/>
        </w:rPr>
      </w:pPr>
      <w:r>
        <w:rPr>
          <w:rFonts w:hint="eastAsia"/>
          <w:lang w:eastAsia="zh-CN"/>
        </w:rPr>
        <w:t>链接：</w:t>
      </w:r>
      <w:r>
        <w:rPr>
          <w:rFonts w:hint="eastAsia"/>
          <w:lang w:eastAsia="zh-CN"/>
        </w:rPr>
        <w:fldChar w:fldCharType="begin"/>
      </w:r>
      <w:r>
        <w:rPr>
          <w:rFonts w:hint="eastAsia"/>
          <w:lang w:eastAsia="zh-CN"/>
        </w:rPr>
        <w:instrText xml:space="preserve"> HYPERLINK "http://gad.qq.com/article/detail/44300" </w:instrText>
      </w:r>
      <w:r>
        <w:rPr>
          <w:rFonts w:hint="eastAsia"/>
          <w:lang w:eastAsia="zh-CN"/>
        </w:rPr>
        <w:fldChar w:fldCharType="separate"/>
      </w:r>
      <w:r>
        <w:rPr>
          <w:rStyle w:val="5"/>
          <w:rFonts w:hint="eastAsia"/>
          <w:lang w:eastAsia="zh-CN"/>
        </w:rPr>
        <w:t>http://gad.qq.com/article/detail/44300</w:t>
      </w:r>
      <w:r>
        <w:rPr>
          <w:rFonts w:hint="eastAsia"/>
          <w:lang w:eastAsia="zh-CN"/>
        </w:rPr>
        <w:fldChar w:fldCharType="end"/>
      </w:r>
    </w:p>
    <w:p>
      <w:pPr>
        <w:rPr>
          <w:rFonts w:hint="eastAsia"/>
          <w:lang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textAlignment w:val="center"/>
        <w:rPr>
          <w:rFonts w:ascii="微软雅黑" w:hAnsi="微软雅黑" w:eastAsia="微软雅黑" w:cs="微软雅黑"/>
          <w:i w:val="0"/>
          <w:caps w:val="0"/>
          <w:color w:val="333333"/>
          <w:spacing w:val="0"/>
          <w:sz w:val="27"/>
          <w:szCs w:val="27"/>
        </w:rPr>
      </w:pPr>
      <w:r>
        <w:rPr>
          <w:rFonts w:ascii="微软雅黑" w:hAnsi="微软雅黑" w:eastAsia="微软雅黑" w:cs="微软雅黑"/>
          <w:b/>
          <w:i w:val="0"/>
          <w:caps w:val="0"/>
          <w:color w:val="0000FF"/>
          <w:spacing w:val="0"/>
          <w:sz w:val="27"/>
          <w:szCs w:val="27"/>
          <w:bdr w:val="none" w:color="auto" w:sz="0" w:space="0"/>
          <w:shd w:val="clear" w:fill="FFFFFF"/>
        </w:rPr>
        <w:t>运营活动的便利性工具</w:t>
      </w:r>
      <w:r>
        <w:rPr>
          <w:rFonts w:hint="eastAsia" w:ascii="微软雅黑" w:hAnsi="微软雅黑" w:eastAsia="微软雅黑" w:cs="微软雅黑"/>
          <w:b/>
          <w:i w:val="0"/>
          <w:caps w:val="0"/>
          <w:color w:val="0000FF"/>
          <w:spacing w:val="0"/>
          <w:sz w:val="27"/>
          <w:szCs w:val="27"/>
          <w:bdr w:val="none" w:color="auto" w:sz="0" w:space="0"/>
          <w:shd w:val="clear" w:fill="FFFFFF"/>
        </w:rPr>
        <w:t>--游戏数据后台和游戏GM后台</w:t>
      </w:r>
    </w:p>
    <w:p>
      <w:pPr>
        <w:keepNext w:val="0"/>
        <w:keepLines w:val="0"/>
        <w:widowControl/>
        <w:suppressLineNumbers w:val="0"/>
        <w:spacing w:before="210" w:beforeAutospacing="0" w:after="210" w:afterAutospacing="0"/>
        <w:ind w:left="0" w:right="0" w:firstLine="420"/>
        <w:jc w:val="both"/>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所谓工欲善其事必先利其器。那就是我们这次要说的：数据后台和GM工具。通过这里你就会知道你们和一些公司是如何拉开了差距。</w:t>
      </w:r>
    </w:p>
    <w:p>
      <w:pPr>
        <w:keepNext w:val="0"/>
        <w:keepLines w:val="0"/>
        <w:widowControl/>
        <w:suppressLineNumbers w:val="0"/>
        <w:spacing w:before="210" w:beforeAutospacing="0" w:after="210" w:afterAutospacing="0"/>
        <w:ind w:left="0" w:right="0" w:firstLine="440"/>
        <w:jc w:val="both"/>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FF0000"/>
          <w:spacing w:val="0"/>
          <w:kern w:val="0"/>
          <w:sz w:val="24"/>
          <w:szCs w:val="24"/>
          <w:lang w:val="en-US" w:eastAsia="zh-CN" w:bidi="ar"/>
        </w:rPr>
        <w:t>一、数据后台</w:t>
      </w:r>
    </w:p>
    <w:p>
      <w:pPr>
        <w:keepNext w:val="0"/>
        <w:keepLines w:val="0"/>
        <w:widowControl/>
        <w:suppressLineNumbers w:val="0"/>
        <w:spacing w:before="210" w:beforeAutospacing="0" w:after="210" w:afterAutospacing="0"/>
        <w:ind w:left="0" w:right="0" w:firstLine="420"/>
        <w:jc w:val="both"/>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那么你的数据后台都有那些数据呢？对于没有见过数据后台的可以搜下ThinkingGame这个第三方平台熟悉下。看看你的数据后台信息够用吗。为什么活动运营需要数据后台？因为活动运营的需要通过数据分析去制定自己的方案和活动，只有对数据足够了解才能精准定位用户，在活动运营的眼里，用户应该是以群体形式存在的，区分群体的形式包括但不限于：区服，新增日期，充值情况，在线时长，付费追求等等信息，但是我们也应该可以通过数据后台定位到玩家账号数据，并能够去导出用户信息进行逐个分析。虽然事无巨细，但是你的工具支持吗？</w:t>
      </w:r>
    </w:p>
    <w:p>
      <w:pPr>
        <w:keepNext w:val="0"/>
        <w:keepLines w:val="0"/>
        <w:widowControl/>
        <w:suppressLineNumbers w:val="0"/>
        <w:spacing w:before="210" w:beforeAutospacing="0" w:after="210" w:afterAutospacing="0"/>
        <w:ind w:left="0" w:right="0" w:firstLine="440"/>
        <w:jc w:val="both"/>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FF0000"/>
          <w:spacing w:val="0"/>
          <w:kern w:val="0"/>
          <w:sz w:val="24"/>
          <w:szCs w:val="24"/>
          <w:lang w:val="en-US" w:eastAsia="zh-CN" w:bidi="ar"/>
        </w:rPr>
        <w:t>二、GM工具</w:t>
      </w:r>
    </w:p>
    <w:p>
      <w:pPr>
        <w:keepNext w:val="0"/>
        <w:keepLines w:val="0"/>
        <w:widowControl/>
        <w:suppressLineNumbers w:val="0"/>
        <w:spacing w:before="210" w:beforeAutospacing="0" w:after="210" w:afterAutospacing="0"/>
        <w:ind w:left="0" w:right="0" w:firstLine="420"/>
        <w:jc w:val="both"/>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GM工具这项很多都仅仅支持公告，礼包，邮件，封号踢人等操作功能。但是GM工具还有便于运营活动使用的功能。</w:t>
      </w:r>
    </w:p>
    <w:p>
      <w:pPr>
        <w:keepNext w:val="0"/>
        <w:keepLines w:val="0"/>
        <w:widowControl/>
        <w:suppressLineNumbers w:val="0"/>
        <w:spacing w:before="210" w:beforeAutospacing="0" w:after="210" w:afterAutospacing="0"/>
        <w:ind w:left="0" w:right="0" w:firstLine="420"/>
        <w:jc w:val="both"/>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对于运营活动的后台配置，比如累充和累计登陆这样的活动，目前还是有两种方法存在，其中一种是运营将自己的奖励设定表交于研发，通过研发同学更新上传至游戏内，甚至还需要停服。另一种便是通过GM工具去配置。GM配置也有两种形式，一种是配置完成后游戏不支持界面展示，只能通过文字公告提醒大家。另一种便是王者荣耀那种的</w:t>
      </w:r>
      <w:bookmarkStart w:id="0" w:name="_GoBack"/>
      <w:bookmarkEnd w:id="0"/>
      <w:r>
        <w:rPr>
          <w:rFonts w:hint="eastAsia" w:ascii="微软雅黑" w:hAnsi="微软雅黑" w:eastAsia="微软雅黑" w:cs="微软雅黑"/>
          <w:b w:val="0"/>
          <w:i w:val="0"/>
          <w:caps w:val="0"/>
          <w:color w:val="333333"/>
          <w:spacing w:val="0"/>
          <w:kern w:val="0"/>
          <w:sz w:val="24"/>
          <w:szCs w:val="24"/>
          <w:lang w:val="en-US" w:eastAsia="zh-CN" w:bidi="ar"/>
        </w:rPr>
        <w:t>界面展示，玩家可以一目了然活动内容并且充值直接界面领取，避免玩家对活动文字描述的怀疑。</w:t>
      </w:r>
    </w:p>
    <w:p>
      <w:pPr>
        <w:keepNext w:val="0"/>
        <w:keepLines w:val="0"/>
        <w:widowControl/>
        <w:suppressLineNumbers w:val="0"/>
        <w:spacing w:before="210" w:beforeAutospacing="0" w:after="210" w:afterAutospacing="0"/>
        <w:ind w:left="0" w:right="0" w:firstLine="420"/>
        <w:jc w:val="both"/>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400040" cy="3011805"/>
            <wp:effectExtent l="0" t="0" r="10160" b="17145"/>
            <wp:docPr id="2" name="图片 1" descr="在月流水6000W的项目怎么做活动（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在月流水6000W的项目怎么做活动（11）"/>
                    <pic:cNvPicPr>
                      <a:picLocks noChangeAspect="1"/>
                    </pic:cNvPicPr>
                  </pic:nvPicPr>
                  <pic:blipFill>
                    <a:blip r:embed="rId4"/>
                    <a:stretch>
                      <a:fillRect/>
                    </a:stretch>
                  </pic:blipFill>
                  <pic:spPr>
                    <a:xfrm>
                      <a:off x="0" y="0"/>
                      <a:ext cx="5400040" cy="301180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20"/>
        <w:jc w:val="both"/>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这里可以发现活动配置形式在不断迭代。所以后起的游戏支持更加智能的运营操作，减少信息传递折损。比如需要每次停服更新才能配置的活动，1.难以处理各种临时压力，2.来停服必然少不了留存折损。3.如果所有活动配置工作交于研发自然又是填表配表必然浪费大量的人力和时间成本。</w:t>
      </w:r>
    </w:p>
    <w:p>
      <w:pPr>
        <w:keepNext w:val="0"/>
        <w:keepLines w:val="0"/>
        <w:widowControl/>
        <w:suppressLineNumbers w:val="0"/>
        <w:spacing w:before="210" w:beforeAutospacing="0" w:after="210" w:afterAutospacing="0"/>
        <w:ind w:left="0" w:right="0" w:firstLine="420"/>
        <w:jc w:val="both"/>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我们在制定的所有活动中，一要研发愿意去开发后台工具用于实时更新后台活动，二要在每个活动制定结束后都提交相关修改接口进入后台，后续的活动配置不再承受任何开发量，仅由活动运营一人亦可完成。所以通过指令化的去开启配置游戏内的所有活动。亦可避免重复的开发工程，从而节省更多去开发扩充游戏的活动库和优化活动配置功能。而运营人员只需自己配置方案且控制活动类型和开启时间即可，也避免了重复活动需求的提供。</w:t>
      </w:r>
    </w:p>
    <w:p>
      <w:pPr>
        <w:keepNext w:val="0"/>
        <w:keepLines w:val="0"/>
        <w:widowControl/>
        <w:suppressLineNumbers w:val="0"/>
        <w:spacing w:before="210" w:beforeAutospacing="0" w:after="210" w:afterAutospacing="0"/>
        <w:ind w:left="0" w:right="0" w:firstLine="420"/>
        <w:jc w:val="both"/>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4762500" cy="2838450"/>
            <wp:effectExtent l="0" t="0" r="0" b="0"/>
            <wp:docPr id="1" name="图片 2" descr="在月流水6000W的项目怎么做活动（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在月流水6000W的项目怎么做活动（11）"/>
                    <pic:cNvPicPr>
                      <a:picLocks noChangeAspect="1"/>
                    </pic:cNvPicPr>
                  </pic:nvPicPr>
                  <pic:blipFill>
                    <a:blip r:embed="rId5"/>
                    <a:stretch>
                      <a:fillRect/>
                    </a:stretch>
                  </pic:blipFill>
                  <pic:spPr>
                    <a:xfrm>
                      <a:off x="0" y="0"/>
                      <a:ext cx="4762500" cy="283845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20"/>
        <w:jc w:val="both"/>
        <w:rPr>
          <w:rFonts w:hint="eastAsia" w:ascii="微软雅黑" w:hAnsi="微软雅黑" w:eastAsia="微软雅黑" w:cs="微软雅黑"/>
          <w:b w:val="0"/>
          <w:i w:val="0"/>
          <w:caps w:val="0"/>
          <w:color w:val="333333"/>
          <w:spacing w:val="0"/>
          <w:sz w:val="24"/>
          <w:szCs w:val="24"/>
        </w:rPr>
      </w:pPr>
    </w:p>
    <w:p>
      <w:pPr>
        <w:keepNext w:val="0"/>
        <w:keepLines w:val="0"/>
        <w:widowControl/>
        <w:suppressLineNumbers w:val="0"/>
        <w:spacing w:before="210" w:beforeAutospacing="0" w:after="210" w:afterAutospacing="0"/>
        <w:ind w:left="0" w:right="0" w:firstLine="420"/>
        <w:jc w:val="both"/>
        <w:rPr>
          <w:rFonts w:hint="eastAsia"/>
          <w:lang w:eastAsia="zh-CN"/>
        </w:rPr>
      </w:pPr>
      <w:r>
        <w:rPr>
          <w:rFonts w:hint="eastAsia" w:ascii="微软雅黑" w:hAnsi="微软雅黑" w:eastAsia="微软雅黑" w:cs="微软雅黑"/>
          <w:b w:val="0"/>
          <w:i w:val="0"/>
          <w:caps w:val="0"/>
          <w:color w:val="333333"/>
          <w:spacing w:val="0"/>
          <w:kern w:val="0"/>
          <w:sz w:val="24"/>
          <w:szCs w:val="24"/>
          <w:lang w:val="en-US" w:eastAsia="zh-CN" w:bidi="ar"/>
        </w:rPr>
        <w:t>提到这里便接下来的新思路，精细化运营从被提起，到如今依然很难发现哪款产品做到他们以为的那种精细化，所有在终章将去描述我心中的精细化运营。</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99C6479"/>
    <w:rsid w:val="6D535020"/>
    <w:rsid w:val="75031232"/>
    <w:rsid w:val="799C64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4">
    <w:name w:val="Default Paragraph Font"/>
    <w:semiHidden/>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customXml" Target="../customXml/item1.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_wwqwang\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0</TotalTime>
  <ScaleCrop>false</ScaleCrop>
  <LinksUpToDate>false</LinksUpToDate>
  <CharactersWithSpaces>0</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2018-10-24T07:26:00Z</dcterms:created>
  <dc:creator>王蔷</dc:creator>
  <cp:lastModifiedBy>王蔷</cp:lastModifiedBy>
  <dcterms:modified xsi:type="dcterms:W3CDTF">2018-10-24T07:27:18Z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