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当我们说数据敏感度时，我们到底在说什么？</w:t>
      </w:r>
    </w:p>
    <w:p>
      <w:pPr>
        <w:rPr>
          <w:rFonts w:hint="default" w:ascii="Arial" w:hAnsi="Arial" w:eastAsia="宋体" w:cs="Arial"/>
          <w:b w:val="0"/>
          <w:i w:val="0"/>
          <w:caps w:val="0"/>
          <w:color w:val="333333"/>
          <w:spacing w:val="0"/>
          <w:sz w:val="21"/>
          <w:szCs w:val="21"/>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"http://gad.qq.com/user/index?id=743910"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姚伟</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ascii="Arial" w:hAnsi="Arial" w:eastAsia="宋体" w:cs="Arial"/>
          <w:b w:val="0"/>
          <w:i w:val="0"/>
          <w:caps w:val="0"/>
          <w:color w:val="333333"/>
          <w:spacing w:val="0"/>
          <w:sz w:val="21"/>
          <w:szCs w:val="21"/>
          <w:lang w:eastAsia="zh-CN"/>
        </w:rPr>
      </w:pPr>
      <w:r>
        <w:rPr>
          <w:rFonts w:hint="eastAsia" w:ascii="Arial" w:hAnsi="Arial" w:eastAsia="宋体" w:cs="Arial"/>
          <w:b w:val="0"/>
          <w:i w:val="0"/>
          <w:caps w:val="0"/>
          <w:color w:val="333333"/>
          <w:spacing w:val="0"/>
          <w:sz w:val="21"/>
          <w:szCs w:val="21"/>
          <w:lang w:eastAsia="zh-CN"/>
        </w:rPr>
        <w:t>链接：</w:t>
      </w:r>
      <w:r>
        <w:rPr>
          <w:rFonts w:hint="eastAsia" w:ascii="Arial" w:hAnsi="Arial" w:eastAsia="宋体" w:cs="Arial"/>
          <w:b w:val="0"/>
          <w:i w:val="0"/>
          <w:caps w:val="0"/>
          <w:color w:val="333333"/>
          <w:spacing w:val="0"/>
          <w:sz w:val="21"/>
          <w:szCs w:val="21"/>
          <w:lang w:eastAsia="zh-CN"/>
        </w:rPr>
        <w:fldChar w:fldCharType="begin"/>
      </w:r>
      <w:r>
        <w:rPr>
          <w:rFonts w:hint="eastAsia" w:ascii="Arial" w:hAnsi="Arial" w:eastAsia="宋体" w:cs="Arial"/>
          <w:b w:val="0"/>
          <w:i w:val="0"/>
          <w:caps w:val="0"/>
          <w:color w:val="333333"/>
          <w:spacing w:val="0"/>
          <w:sz w:val="21"/>
          <w:szCs w:val="21"/>
          <w:lang w:eastAsia="zh-CN"/>
        </w:rPr>
        <w:instrText xml:space="preserve"> HYPERLINK "http://gad.qq.com/article/detail/287708" </w:instrText>
      </w:r>
      <w:r>
        <w:rPr>
          <w:rFonts w:hint="eastAsia" w:ascii="Arial" w:hAnsi="Arial" w:eastAsia="宋体" w:cs="Arial"/>
          <w:b w:val="0"/>
          <w:i w:val="0"/>
          <w:caps w:val="0"/>
          <w:color w:val="333333"/>
          <w:spacing w:val="0"/>
          <w:sz w:val="21"/>
          <w:szCs w:val="21"/>
          <w:lang w:eastAsia="zh-CN"/>
        </w:rPr>
        <w:fldChar w:fldCharType="separate"/>
      </w:r>
      <w:r>
        <w:rPr>
          <w:rStyle w:val="6"/>
          <w:rFonts w:hint="eastAsia" w:ascii="Arial" w:hAnsi="Arial" w:eastAsia="宋体" w:cs="Arial"/>
          <w:b w:val="0"/>
          <w:i w:val="0"/>
          <w:caps w:val="0"/>
          <w:spacing w:val="0"/>
          <w:sz w:val="21"/>
          <w:szCs w:val="21"/>
          <w:lang w:eastAsia="zh-CN"/>
        </w:rPr>
        <w:t>http://gad.qq.com/article/detail/287708</w:t>
      </w:r>
      <w:r>
        <w:rPr>
          <w:rFonts w:hint="eastAsia" w:ascii="Arial" w:hAnsi="Arial" w:eastAsia="宋体" w:cs="Arial"/>
          <w:b w:val="0"/>
          <w:i w:val="0"/>
          <w:caps w:val="0"/>
          <w:color w:val="333333"/>
          <w:spacing w:val="0"/>
          <w:sz w:val="21"/>
          <w:szCs w:val="21"/>
          <w:lang w:eastAsia="zh-CN"/>
        </w:rPr>
        <w:fldChar w:fldCharType="end"/>
      </w:r>
    </w:p>
    <w:p>
      <w:pPr>
        <w:rPr>
          <w:rFonts w:hint="eastAsia" w:ascii="Arial" w:hAnsi="Arial" w:eastAsia="宋体" w:cs="Arial"/>
          <w:b w:val="0"/>
          <w:i w:val="0"/>
          <w:caps w:val="0"/>
          <w:color w:val="333333"/>
          <w:spacing w:val="0"/>
          <w:sz w:val="21"/>
          <w:szCs w:val="21"/>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最近一直在看范冰和曲卉老师的增长黑客实战笔记，干货很足。增长黑客是非常典型的以数据驱动决策的岗位，随便翻一翻各大招聘网站关于增长黑客的要求，都必然要求一条“拥有优秀的数据敏感度”。有兴趣的朋友可以留意一下这条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当然，我今天并不是讨论如何成为一名优秀的增长黑客，而是我每次看到“数据敏感度”这个词的时候，内心都无比复杂，总是会想起那会儿刚入行没多久，给某款游戏做留存预测的事儿。那个时候的上级说了句令我记忆犹新的话，“你不适合做数据分析，没有数据敏感度”，我当时特别好奇，反问他什么叫数据敏感度，什么才算好的数据敏感度，遗憾的是，他支支吾吾说了半天也没能说清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时过境迁，现在回头来看，到底什么叫数据敏感度呢？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在我看来，所谓的数据敏感度，其实就是在大脑内建立了数字和业务之间的联系，而优秀的明数据敏感度，就是能够一眼看出数据的问题和背后可能的原因。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什么叫一眼看出？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如果你是游戏行业的，我告诉你这款MMORPG的次留是20%，你能知道我款产品在行业里处于什么样的水准，游戏前期可能存在什么样的问题等；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如果你是O2O行业的，我告诉你外卖订单量相比于昨天下跌了10%，你能很快判断出问题的影响面和造成订单量下跌的可能原因；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如果你是电商行业的，我告诉你我这款产品的复购率是40%，你能很快判断出我这款产品大概是什么类型的产品，在行业内是什么样的水准；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做到这程度，就叫优秀的数据敏感度。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那如何培养数据敏感度呢？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培养数据敏感度，其实就是在大脑里培养建立数字和业务之间的联系，多做业务，多实践永远是提升数据敏感度的不二法门，对业务逻辑越了解，对数据之间的逻辑关系理解越透彻。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但是对于想转行的新人，或者说应届生来说，这个时候还没有接触到具体业务的机会，怎么办？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说说我对这个问题的理解，首先对于新人或面临转行的人来说，这两种类型的人都缺少对本行业的通识，第一件要做的事就是背数据，记住这个行业的行业平均数据和各项通用指标的定义，这么做是为了对整个行业有个总体的认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以我自己为例，当时从游戏策划转游戏运营，查询了talkingdata、易观、dataeye等数据平台和应用宝、360、硬核等各家平台发布的游戏数据，对当时市面上的各种游戏类型的留存、付费等数据做了个整理和记忆，比如Arppu、Arpu、次日留存、三日留存、七日留存、月留存、付费率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如果是其他行业，比如电商行业，流量*转化率*客单价*复购率这个公式则是重中之重等等。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15"/>
          <w:sz w:val="24"/>
          <w:szCs w:val="24"/>
          <w:bdr w:val="none" w:color="auto" w:sz="0" w:space="0"/>
          <w:shd w:val="clear" w:fill="FFFFFF"/>
        </w:rPr>
      </w:pPr>
      <w:r>
        <w:rPr>
          <w:rFonts w:hint="eastAsia" w:ascii="微软雅黑" w:hAnsi="微软雅黑" w:eastAsia="微软雅黑" w:cs="微软雅黑"/>
          <w:b w:val="0"/>
          <w:i w:val="0"/>
          <w:caps w:val="0"/>
          <w:color w:val="333333"/>
          <w:spacing w:val="15"/>
          <w:sz w:val="24"/>
          <w:szCs w:val="24"/>
          <w:bdr w:val="none" w:color="auto" w:sz="0" w:space="0"/>
          <w:shd w:val="clear" w:fill="FFFFFF"/>
        </w:rPr>
        <w:t>本质上，背诵数据是对行业AARRR模型的一个整体记忆，是在脑海里刻画这个行业的专属模型。每个行业的流量漏斗都大抵离不开以下的模型图和步骤拆解：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15"/>
          <w:sz w:val="24"/>
          <w:szCs w:val="24"/>
          <w:bdr w:val="none" w:color="auto" w:sz="0" w:space="0"/>
          <w:shd w:val="clear" w:fill="FFFFFF"/>
          <w:lang w:eastAsia="zh-CN"/>
        </w:rPr>
      </w:pPr>
      <w:r>
        <w:rPr>
          <w:rFonts w:hint="eastAsia" w:ascii="微软雅黑" w:hAnsi="微软雅黑" w:eastAsia="微软雅黑" w:cs="微软雅黑"/>
          <w:b w:val="0"/>
          <w:i w:val="0"/>
          <w:caps w:val="0"/>
          <w:color w:val="333333"/>
          <w:spacing w:val="15"/>
          <w:sz w:val="24"/>
          <w:szCs w:val="24"/>
          <w:bdr w:val="none" w:color="auto" w:sz="0" w:space="0"/>
          <w:shd w:val="clear" w:fill="FFFFFF"/>
          <w:lang w:eastAsia="zh-CN"/>
        </w:rPr>
        <w:drawing>
          <wp:inline distT="0" distB="0" distL="114300" distR="114300">
            <wp:extent cx="5271135" cy="3056890"/>
            <wp:effectExtent l="0" t="0" r="5715" b="10160"/>
            <wp:docPr id="4" name="图片 4" descr="QQ截图20181019145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1019145518"/>
                    <pic:cNvPicPr>
                      <a:picLocks noChangeAspect="1"/>
                    </pic:cNvPicPr>
                  </pic:nvPicPr>
                  <pic:blipFill>
                    <a:blip r:embed="rId4"/>
                    <a:stretch>
                      <a:fillRect/>
                    </a:stretch>
                  </pic:blipFill>
                  <pic:spPr>
                    <a:xfrm>
                      <a:off x="0" y="0"/>
                      <a:ext cx="5271135" cy="305689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Acquisition（用户获取）：渠道曝光、下载、安装、启动、注册、（创角，游戏行业特有）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Activation（用户激活）：这里的激活，一般着重指完成了某个关键的行为，才视为一个激活。比如facebook关注了5个好友、阅读APP浏览了多少条新闻、理财APP进行一次理财等。需要特别说明的是，游戏行业的一个激活，一般是指完成注册或者创角，重点强调用户获取层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Retention（用户留存）：同样的，这里的留存仍是指在一定周期内回来完成一次关键行为。游戏行业一般只关注用户是否回来。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Revenue（付费）：完成关键行为的用户付费概率更高，也就是所谓的留下来的用户才可能付费。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Referral（用户推荐）：指产品内的用户推荐机制，一般更加系统化，和病毒传播不太一样。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在已经对行业AARRR模型已经有所了解的基础上，对于已经在工作岗位的人来说，就是熟悉公司业务数据了，从大盘到细分数据，都应该做到心中有数，最后按照一定的分析思路来分析数据。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以《增长黑客实战笔记》中的例子为例，来谈谈具体遇到具体数据问题的时候的思路：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假如你是百度外卖的运营负责人，某天移动端的订单量比前一日下降了5%，你的老板要求你对这一变动做出合理解释，你如何应答？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其次先明确指标变动的异常程度和影响面，订单量比前一日下跌5%，是否大到必须加以重视。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以2015年百度外卖B轮融资计划书展示的数据看，其拥有3000万的注册用户，日订单数量超过110万，客单价可达50元左右。以此数据估算，假设2016年底注册用户数达到6000万，日订单数据量突破200万，客单价基本不变，那么5%的订单量下滑意味着当日损失500万营收。天然的单一突发事件几乎不可能造成这么大的损失，因此足以引起团队的重视（这里只是以融资计划书的付费数据为例，实际上作为运营负责人，这些数据都是内部可直接获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确定需要引起重视后，就需要寻求数据分析的角度，排查异常原因，影响数据异常变动的原因可能有哪些？这里的思考模式其实就是金字塔结构思维模式：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lang w:eastAsia="zh-CN"/>
        </w:rPr>
      </w:pPr>
      <w:r>
        <w:rPr>
          <w:rFonts w:hint="eastAsia" w:ascii="微软雅黑" w:hAnsi="微软雅黑" w:eastAsia="微软雅黑" w:cs="微软雅黑"/>
          <w:b w:val="0"/>
          <w:i w:val="0"/>
          <w:caps w:val="0"/>
          <w:color w:val="333333"/>
          <w:spacing w:val="8"/>
          <w:sz w:val="24"/>
          <w:szCs w:val="24"/>
          <w:bdr w:val="none" w:color="auto" w:sz="0" w:space="0"/>
          <w:shd w:val="clear" w:fill="FFFFFF"/>
        </w:rPr>
        <w:t>           </w:t>
      </w:r>
      <w:r>
        <w:rPr>
          <w:rFonts w:hint="eastAsia" w:ascii="微软雅黑" w:hAnsi="微软雅黑" w:eastAsia="微软雅黑" w:cs="微软雅黑"/>
          <w:b w:val="0"/>
          <w:i w:val="0"/>
          <w:caps w:val="0"/>
          <w:color w:val="333333"/>
          <w:spacing w:val="8"/>
          <w:sz w:val="24"/>
          <w:szCs w:val="24"/>
          <w:bdr w:val="none" w:color="auto" w:sz="0" w:space="0"/>
          <w:shd w:val="clear" w:fill="FFFFFF"/>
        </w:rPr>
        <w:drawing>
          <wp:inline distT="0" distB="0" distL="114300" distR="114300">
            <wp:extent cx="304800" cy="304800"/>
            <wp:effectExtent l="0" t="0" r="0" b="0"/>
            <wp:docPr id="1" name="图片 2" descr="当我们说数据敏感度时，我们到底在说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当我们说数据敏感度时，我们到底在说什么？"/>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bookmarkStart w:id="0" w:name="_GoBack"/>
      <w:r>
        <w:rPr>
          <w:rFonts w:hint="eastAsia" w:ascii="微软雅黑" w:hAnsi="微软雅黑" w:eastAsia="微软雅黑" w:cs="微软雅黑"/>
          <w:b w:val="0"/>
          <w:i w:val="0"/>
          <w:caps w:val="0"/>
          <w:color w:val="333333"/>
          <w:spacing w:val="8"/>
          <w:sz w:val="24"/>
          <w:szCs w:val="24"/>
          <w:lang w:eastAsia="zh-CN"/>
        </w:rPr>
        <w:drawing>
          <wp:inline distT="0" distB="0" distL="114300" distR="114300">
            <wp:extent cx="5269865" cy="7509510"/>
            <wp:effectExtent l="0" t="0" r="6985" b="15240"/>
            <wp:docPr id="5" name="图片 5" descr="QQ截图2018101914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1019145530"/>
                    <pic:cNvPicPr>
                      <a:picLocks noChangeAspect="1"/>
                    </pic:cNvPicPr>
                  </pic:nvPicPr>
                  <pic:blipFill>
                    <a:blip r:embed="rId6"/>
                    <a:stretch>
                      <a:fillRect/>
                    </a:stretch>
                  </pic:blipFill>
                  <pic:spPr>
                    <a:xfrm>
                      <a:off x="0" y="0"/>
                      <a:ext cx="5269865" cy="7509510"/>
                    </a:xfrm>
                    <a:prstGeom prst="rect">
                      <a:avLst/>
                    </a:prstGeom>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        </w:t>
      </w:r>
      <w:r>
        <w:rPr>
          <w:rStyle w:val="5"/>
          <w:rFonts w:hint="eastAsia" w:ascii="微软雅黑" w:hAnsi="微软雅黑" w:eastAsia="微软雅黑" w:cs="微软雅黑"/>
          <w:b w:val="0"/>
          <w:i w:val="0"/>
          <w:caps w:val="0"/>
          <w:color w:val="333333"/>
          <w:spacing w:val="15"/>
          <w:sz w:val="24"/>
          <w:szCs w:val="24"/>
          <w:bdr w:val="none" w:color="auto" w:sz="0" w:space="0"/>
          <w:shd w:val="clear" w:fill="FFFFFF"/>
        </w:rPr>
        <w:t>   PS：强烈推荐职场新人看看这本书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先考虑全局指标：包括一定时间内新增用户量、总体付费率、总留存率、用户活跃度、各环节总转化率、搜索功能使用率、翻页率、崩溃率等。全局指标用于分析对全体用户产生影响的共性原因，绝大部分问题都会在全局指标上体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再看分渠道指标：可以按不同用户属性（新老用户）、用户来源（下载渠道）、用户自然属性（地域、性别）网络环境（网络运营商、网络接入方式）等维度观察不同渠道数据是否存在异常。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举个例子，曾经运营某款游戏的时候，突然某段时间有大量用户投诉无法登录，经过大量技术排查工作之后，最后确认是该地区的移动网络出现故障；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在上述两项指标基础上，再考虑用户行为数据：重点观测用户在不同时间段、不同需求类型下的行为，从而定位到由于某一细分人群的定向变化产生的数据异常；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时间因素：外界环境的影响也可能对产品数据造成影响，因此观测环比和同比数据都很重要。典型如“月末效应”，即一定规模的用户群体因月底流量耗尽而减少上网行为，造成整体流量的下滑。另外，对于一款外卖产品而言。天气变化也会造成数据波动，通常阴雨天气的订单量会走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同样的，“周一效应” “寒暑假效应”也是游戏行业比较常见的效应，游戏dau在周一往往会走低，在寒暑假往往会走高；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其他产品线监控：百度集团旗下的其他产品线变动也可能成为造成订单量下滑的原因，例如91应用市场改变了App广告的展示位置，或是搜索引擎的算法调整降低了网民常用关键词的权重等（通过下载来源的分渠道数据可以明显看到哪个下载来源的数据有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舆情监控：包括但不限于通过人工或机器方式，从内部反馈渠道如客服系统到论坛、贴吧、微博、朋友圈等处采集大众对产品的实时意见。极有可能因此发现导致产品数据骤然降低或飙升的特殊舆情，如竞争对手有了哪些动作、母公司运作重大纰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定位到具体的问题和原因后，给出对应的结论和解决方案，比如修复某个bug，针对竞争对手的营销策略做出同等力度的折扣反击等。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微软雅黑" w:hAnsi="微软雅黑" w:eastAsia="微软雅黑" w:cs="微软雅黑"/>
          <w:b w:val="0"/>
          <w:i w:val="0"/>
          <w:caps w:val="0"/>
          <w:color w:val="333333"/>
          <w:spacing w:val="8"/>
          <w:sz w:val="24"/>
          <w:szCs w:val="24"/>
        </w:rPr>
      </w:pPr>
      <w:r>
        <w:rPr>
          <w:rFonts w:hint="eastAsia" w:ascii="微软雅黑" w:hAnsi="微软雅黑" w:eastAsia="微软雅黑" w:cs="微软雅黑"/>
          <w:b w:val="0"/>
          <w:i w:val="0"/>
          <w:caps w:val="0"/>
          <w:color w:val="333333"/>
          <w:spacing w:val="15"/>
          <w:sz w:val="24"/>
          <w:szCs w:val="24"/>
          <w:bdr w:val="none" w:color="auto" w:sz="0" w:space="0"/>
          <w:shd w:val="clear" w:fill="FFFFFF"/>
        </w:rPr>
        <w:t>分析出问题原因只是第一步，提出解决问题的方案才是最关键的。</w:t>
      </w:r>
    </w:p>
    <w:p>
      <w:pPr>
        <w:rPr>
          <w:rFonts w:hint="eastAsia" w:ascii="Arial" w:hAnsi="Arial" w:eastAsia="宋体" w:cs="Arial"/>
          <w:b w:val="0"/>
          <w:i w:val="0"/>
          <w:caps w:val="0"/>
          <w:color w:val="333333"/>
          <w:spacing w:val="0"/>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F3297"/>
    <w:rsid w:val="0A940758"/>
    <w:rsid w:val="499F329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2018-10-19T06:51:00Z</dcterms:created>
  <dc:creator>王蔷</dc:creator>
  <cp:lastModifiedBy>王蔷</cp:lastModifiedBy>
  <dcterms:modified xsi:type="dcterms:W3CDTF">2018-10-19T06:56:45Z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