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36. </w:t>
      </w:r>
      <w:r>
        <w:rPr/>
        <w:t>Intel Transactional Synchronization Extensions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https://en.wikipedia.org/wiki/Transactional_Synchronization_Extensions</w:t>
      </w:r>
    </w:p>
    <w:p>
      <w:pPr>
        <w:pStyle w:val="Normal"/>
        <w:rPr/>
      </w:pPr>
      <w:r>
        <w:rPr/>
        <w:t>По-русски:</w:t>
      </w:r>
    </w:p>
    <w:p>
      <w:pPr>
        <w:pStyle w:val="Normal"/>
        <w:rPr/>
      </w:pPr>
      <w:hyperlink r:id="rId2">
        <w:r>
          <w:rPr>
            <w:rStyle w:val="Style17"/>
          </w:rPr>
          <w:t>https://habrahabr.ru/company/intel/blog/137567/</w:t>
        </w:r>
      </w:hyperlink>
    </w:p>
    <w:p>
      <w:pPr>
        <w:pStyle w:val="Normal"/>
        <w:rPr/>
      </w:pPr>
      <w:r>
        <w:rPr/>
      </w:r>
    </w:p>
    <w:p>
      <w:pPr>
        <w:pStyle w:val="Style19"/>
        <w:rPr/>
      </w:pPr>
      <w:r>
        <w:rPr/>
        <w:t>Transactional Synchronization Extensions  — расширение которая добавляет поддержку транзакционной памяти, ускоряя исполнение мультипотоковых программ.</w:t>
      </w:r>
    </w:p>
    <w:p>
      <w:pPr>
        <w:pStyle w:val="Normal"/>
        <w:rPr/>
      </w:pPr>
      <w:r>
        <w:rPr/>
        <w:t>Это — транзакции «на железе»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  <w:i/>
          <w:i/>
          <w:iCs/>
        </w:rPr>
      </w:pPr>
      <w:r>
        <w:rPr>
          <w:rFonts w:ascii="Verdana" w:hAnsi="Verdana"/>
          <w:i/>
          <w:iCs/>
        </w:rPr>
        <w:t>Методы на железе:</w:t>
      </w:r>
    </w:p>
    <w:p>
      <w:pPr>
        <w:pStyle w:val="Normal"/>
        <w:numPr>
          <w:ilvl w:val="0"/>
          <w:numId w:val="1"/>
        </w:numPr>
        <w:rPr/>
      </w:pPr>
      <w:r>
        <w:rPr>
          <w:rFonts w:ascii="Verdana" w:hAnsi="Verdana"/>
        </w:rPr>
        <w:t>Расширение к протоколу когерентности кэшей MESI</w:t>
      </w:r>
    </w:p>
    <w:p>
      <w:pPr>
        <w:pStyle w:val="Normal"/>
        <w:numPr>
          <w:ilvl w:val="0"/>
          <w:numId w:val="1"/>
        </w:numPr>
        <w:rPr/>
      </w:pPr>
      <w:r>
        <w:rPr>
          <w:rFonts w:ascii="Verdana" w:hAnsi="Verdana"/>
        </w:rPr>
        <w:t>Все доступы к памяти транзакционные</w:t>
      </w:r>
    </w:p>
    <w:p>
      <w:pPr>
        <w:pStyle w:val="Normal"/>
        <w:numPr>
          <w:ilvl w:val="0"/>
          <w:numId w:val="1"/>
        </w:numPr>
        <w:rPr/>
      </w:pPr>
      <w:r>
        <w:rPr>
          <w:rFonts w:ascii="Verdana" w:hAnsi="Verdana"/>
        </w:rPr>
        <w:t>Иногда случается отмена в свете отсутствия ресурсов</w:t>
      </w:r>
    </w:p>
    <w:p>
      <w:pPr>
        <w:pStyle w:val="Normal"/>
        <w:numPr>
          <w:ilvl w:val="0"/>
          <w:numId w:val="1"/>
        </w:numPr>
        <w:rPr/>
      </w:pPr>
      <w:r>
        <w:rPr>
          <w:rFonts w:ascii="Verdana" w:hAnsi="Verdana"/>
        </w:rPr>
        <w:t>Поддерживается в продуктах:</w:t>
      </w:r>
    </w:p>
    <w:p>
      <w:pPr>
        <w:pStyle w:val="Normal"/>
        <w:numPr>
          <w:ilvl w:val="1"/>
          <w:numId w:val="1"/>
        </w:numPr>
        <w:rPr/>
      </w:pPr>
      <w:r>
        <w:rPr>
          <w:rFonts w:ascii="Verdana" w:hAnsi="Verdana"/>
        </w:rPr>
        <w:t>Azul Systems Vega 2</w:t>
      </w:r>
    </w:p>
    <w:p>
      <w:pPr>
        <w:pStyle w:val="Normal"/>
        <w:numPr>
          <w:ilvl w:val="1"/>
          <w:numId w:val="1"/>
        </w:numPr>
        <w:rPr/>
      </w:pPr>
      <w:r>
        <w:rPr>
          <w:rFonts w:ascii="Verdana" w:hAnsi="Verdana"/>
        </w:rPr>
        <w:t>Intel Haswell</w:t>
      </w:r>
    </w:p>
    <w:p>
      <w:pPr>
        <w:pStyle w:val="Normal"/>
        <w:numPr>
          <w:ilvl w:val="1"/>
          <w:numId w:val="1"/>
        </w:numPr>
        <w:rPr/>
      </w:pPr>
      <w:r>
        <w:rPr>
          <w:rFonts w:ascii="Verdana" w:hAnsi="Verdana"/>
        </w:rPr>
        <w:t>IBM Power8</w:t>
      </w:r>
    </w:p>
    <w:p>
      <w:pPr>
        <w:pStyle w:val="Normal"/>
        <w:numPr>
          <w:ilvl w:val="1"/>
          <w:numId w:val="1"/>
        </w:numPr>
        <w:rPr/>
      </w:pPr>
      <w:r>
        <w:rPr>
          <w:rFonts w:ascii="Verdana" w:hAnsi="Verdana"/>
        </w:rPr>
        <w:t>IBM zEC12</w:t>
      </w:r>
    </w:p>
    <w:p>
      <w:pPr>
        <w:pStyle w:val="Normal"/>
        <w:numPr>
          <w:ilvl w:val="1"/>
          <w:numId w:val="1"/>
        </w:numPr>
        <w:rPr/>
      </w:pPr>
      <w:r>
        <w:rPr>
          <w:rFonts w:ascii="Verdana" w:hAnsi="Verdana"/>
        </w:rPr>
        <w:t>IBM BlueGene/</w:t>
      </w:r>
      <w:bookmarkStart w:id="0" w:name="_GoBack"/>
      <w:bookmarkEnd w:id="0"/>
      <w:r>
        <w:rPr>
          <w:rFonts w:ascii="Verdana" w:hAnsi="Verdana"/>
        </w:rPr>
        <w:t>Q</w:t>
      </w:r>
    </w:p>
    <w:p>
      <w:pPr>
        <w:pStyle w:val="Normal"/>
        <w:rPr>
          <w:rFonts w:ascii="Verdana" w:hAnsi="Verdana"/>
        </w:rPr>
      </w:pPr>
      <w:r>
        <w:rPr/>
      </w:r>
    </w:p>
    <w:p>
      <w:pPr>
        <w:pStyle w:val="Normal"/>
        <w:rPr/>
      </w:pPr>
      <w:r>
        <w:rPr>
          <w:rFonts w:ascii="Verdana" w:hAnsi="Verdana"/>
        </w:rPr>
        <w:t xml:space="preserve">Hardware Lock Elision </w:t>
      </w:r>
    </w:p>
    <w:p>
      <w:pPr>
        <w:pStyle w:val="Normal"/>
        <w:rPr/>
      </w:pPr>
      <w:r>
        <w:rPr>
          <w:rFonts w:ascii="Verdana" w:hAnsi="Verdana"/>
        </w:rPr>
        <w:t>Установка и снятие блокировки — атомарные операции записи в память.</w:t>
      </w:r>
    </w:p>
    <w:p>
      <w:pPr>
        <w:pStyle w:val="Normal"/>
        <w:numPr>
          <w:ilvl w:val="0"/>
          <w:numId w:val="2"/>
        </w:numPr>
        <w:rPr/>
      </w:pPr>
      <w:r>
        <w:rPr>
          <w:rFonts w:ascii="Verdana" w:hAnsi="Verdana"/>
        </w:rPr>
        <w:t>ADD, ADC, AND, BTC, BTR, BTS, CMPXCHG, CMPXCHG8B, DEC, INC, NEG, NOT, OR, SBB, SUB, XOR, XADD, and XCHG</w:t>
      </w:r>
    </w:p>
    <w:p>
      <w:pPr>
        <w:pStyle w:val="Normal"/>
        <w:rPr/>
      </w:pPr>
      <w:r>
        <w:rPr>
          <w:rFonts w:ascii="Verdana" w:hAnsi="Verdana"/>
        </w:rPr>
        <w:t>У данных операций есть префикс LOCK(0xF0)</w:t>
      </w:r>
    </w:p>
    <w:p>
      <w:pPr>
        <w:pStyle w:val="Normal"/>
        <w:rPr>
          <w:rFonts w:ascii="Verdana" w:hAnsi="Verdana"/>
        </w:rPr>
      </w:pPr>
      <w:r>
        <w:rPr/>
      </w:r>
    </w:p>
    <w:p>
      <w:pPr>
        <w:pStyle w:val="Normal"/>
        <w:rPr/>
      </w:pPr>
      <w:r>
        <w:rPr>
          <w:rFonts w:ascii="Verdana" w:hAnsi="Verdana"/>
        </w:rPr>
        <w:t xml:space="preserve">Два новых префикса </w:t>
      </w:r>
      <w:r>
        <w:rPr>
          <w:rFonts w:ascii="Verdana" w:hAnsi="Verdana"/>
        </w:rPr>
        <w:t xml:space="preserve">XACQUIRE and </w:t>
      </w:r>
      <w:bookmarkStart w:id="1" w:name="__DdeLink__2278_437870610"/>
      <w:bookmarkEnd w:id="1"/>
      <w:r>
        <w:rPr>
          <w:rFonts w:ascii="Verdana" w:hAnsi="Verdana"/>
        </w:rPr>
        <w:t>XRELEASE</w:t>
      </w:r>
    </w:p>
    <w:p>
      <w:pPr>
        <w:pStyle w:val="Normal"/>
        <w:numPr>
          <w:ilvl w:val="0"/>
          <w:numId w:val="3"/>
        </w:numPr>
        <w:rPr/>
      </w:pPr>
      <w:r>
        <w:rPr>
          <w:rFonts w:ascii="Verdana" w:hAnsi="Verdana"/>
        </w:rPr>
        <w:t>Они переиспользуют REPNE/REPE префиксы</w:t>
      </w:r>
    </w:p>
    <w:p>
      <w:pPr>
        <w:pStyle w:val="Normal"/>
        <w:numPr>
          <w:ilvl w:val="0"/>
          <w:numId w:val="3"/>
        </w:numPr>
        <w:rPr/>
      </w:pPr>
      <w:r>
        <w:rPr>
          <w:rFonts w:ascii="Verdana" w:hAnsi="Verdana"/>
        </w:rPr>
        <w:t>Данные префиксы игнорировались на данных кодах операций до Haswell</w:t>
      </w:r>
    </w:p>
    <w:p>
      <w:pPr>
        <w:pStyle w:val="Normal"/>
        <w:rPr>
          <w:rFonts w:ascii="Verdana" w:hAnsi="Verdana"/>
        </w:rPr>
      </w:pPr>
      <w:r>
        <w:rPr/>
      </w:r>
    </w:p>
    <w:p>
      <w:pPr>
        <w:pStyle w:val="Normal"/>
        <w:rPr/>
      </w:pPr>
      <w:r>
        <w:rPr>
          <w:rFonts w:ascii="Verdana" w:hAnsi="Verdana"/>
        </w:rPr>
        <w:t>XACQUIRE</w:t>
      </w:r>
    </w:p>
    <w:p>
      <w:pPr>
        <w:pStyle w:val="Normal"/>
        <w:rPr/>
      </w:pPr>
      <w:r>
        <w:rPr>
          <w:rFonts w:ascii="Verdana" w:hAnsi="Verdana"/>
        </w:rPr>
        <w:t>Начинает транзакцию</w:t>
      </w:r>
    </w:p>
    <w:p>
      <w:pPr>
        <w:pStyle w:val="Normal"/>
        <w:rPr/>
      </w:pPr>
      <w:r>
        <w:rPr>
          <w:rFonts w:ascii="Verdana" w:hAnsi="Verdana"/>
        </w:rPr>
        <w:t>Ставит блокировки на считываемое множество</w:t>
      </w:r>
    </w:p>
    <w:p>
      <w:pPr>
        <w:pStyle w:val="Normal"/>
        <w:rPr/>
      </w:pPr>
      <w:r>
        <w:rPr>
          <w:rFonts w:ascii="Verdana" w:hAnsi="Verdana"/>
        </w:rPr>
        <w:t>XRELEASE</w:t>
      </w:r>
    </w:p>
    <w:p>
      <w:pPr>
        <w:pStyle w:val="Normal"/>
        <w:rPr/>
      </w:pPr>
      <w:r>
        <w:rPr>
          <w:rFonts w:ascii="Verdana" w:hAnsi="Verdana"/>
        </w:rPr>
        <w:t>Выполянет транзакцию</w:t>
      </w:r>
    </w:p>
    <w:p>
      <w:pPr>
        <w:pStyle w:val="Normal"/>
        <w:rPr/>
      </w:pPr>
      <w:r>
        <w:rPr>
          <w:rFonts w:ascii="Verdana" w:hAnsi="Verdana"/>
        </w:rPr>
        <w:t>Если транзакция отменяется, все автоматически перезагружается, без XACQUIRE</w:t>
      </w:r>
    </w:p>
    <w:p>
      <w:pPr>
        <w:pStyle w:val="Normal"/>
        <w:rPr>
          <w:rFonts w:ascii="Verdana" w:hAnsi="Verdana"/>
        </w:rPr>
      </w:pPr>
      <w:r>
        <w:rPr/>
      </w:r>
    </w:p>
    <w:p>
      <w:pPr>
        <w:pStyle w:val="Normal"/>
        <w:rPr>
          <w:highlight w:val="yellow"/>
        </w:rPr>
      </w:pPr>
      <w:r>
        <w:rPr>
          <w:rFonts w:ascii="Verdana" w:hAnsi="Verdana"/>
          <w:highlight w:val="yellow"/>
        </w:rPr>
        <w:t>В презентации есть еще про HTM, но походу это не сюда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28">
    <w:name w:val="ListLabel 28"/>
    <w:qFormat/>
    <w:rPr>
      <w:rFonts w:ascii="Verdana" w:hAnsi="Verdana"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Style15">
    <w:name w:val="Символ нумерации"/>
    <w:qFormat/>
    <w:rPr/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Посещённая гиперссылка"/>
    <w:rPr>
      <w:color w:val="800000"/>
      <w:u w:val="single"/>
      <w:lang w:val="zxx" w:eastAsia="zxx" w:bidi="zxx"/>
    </w:rPr>
  </w:style>
  <w:style w:type="paragraph" w:styleId="Style18">
    <w:name w:val="Заголовок"/>
    <w:basedOn w:val="Normal"/>
    <w:next w:val="Style19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9">
    <w:name w:val="Body Text"/>
    <w:basedOn w:val="Normal"/>
    <w:pPr>
      <w:spacing w:lineRule="auto" w:line="288" w:before="0" w:after="140"/>
    </w:pPr>
    <w:rPr/>
  </w:style>
  <w:style w:type="paragraph" w:styleId="Style20">
    <w:name w:val="List"/>
    <w:basedOn w:val="Style19"/>
    <w:pPr/>
    <w:rPr>
      <w:rFonts w:cs="Free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brahabr.ru/company/intel/blog/137567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LibreOffice/5.1.4.2$Linux_X86_64 LibreOffice_project/10m0$Build-2</Application>
  <Pages>1</Pages>
  <Words>159</Words>
  <Characters>1089</Characters>
  <CharactersWithSpaces>1211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2016-12-12T22:39:13Z</dcterms:created>
  <dc:creator/>
  <dc:description/>
  <dc:language>ru-RU</dc:language>
  <cp:lastModifiedBy/>
  <dcterms:modified xsi:type="dcterms:W3CDTF">2016-12-12T23:07:26Z</dcterms:modified>
  <cp:revision>1</cp:revision>
  <dc:subject/>
  <dc:title/>
</cp:coreProperties>
</file>